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20370A">
        <w:rPr>
          <w:rFonts w:ascii="Arial" w:eastAsia="SimSun" w:hAnsi="Arial" w:cs="Times New Roman"/>
          <w:b/>
          <w:sz w:val="24"/>
          <w:szCs w:val="20"/>
          <w:lang w:val="en-GB"/>
        </w:rPr>
        <w:t>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bookmarkStart w:id="3" w:name="_GoBack"/>
      <w:r w:rsidRPr="008C57EE">
        <w:rPr>
          <w:rFonts w:ascii="Arial" w:eastAsia="SimSun" w:hAnsi="Arial" w:cs="Times New Roman" w:hint="eastAsia"/>
          <w:b/>
          <w:bCs/>
          <w:sz w:val="24"/>
          <w:szCs w:val="20"/>
          <w:lang w:val="en-GB" w:eastAsia="ja-JP"/>
        </w:rPr>
        <w:t>R</w:t>
      </w:r>
      <w:r w:rsidRPr="008C57EE">
        <w:rPr>
          <w:rFonts w:ascii="Arial" w:eastAsia="SimSun" w:hAnsi="Arial" w:cs="Times New Roman"/>
          <w:b/>
          <w:bCs/>
          <w:sz w:val="24"/>
          <w:szCs w:val="20"/>
          <w:lang w:val="en-GB" w:eastAsia="ja-JP"/>
        </w:rPr>
        <w:t>4</w:t>
      </w:r>
      <w:r w:rsidRPr="008C57EE">
        <w:rPr>
          <w:rFonts w:ascii="Arial" w:eastAsia="SimSun" w:hAnsi="Arial" w:cs="Times New Roman" w:hint="eastAsia"/>
          <w:b/>
          <w:bCs/>
          <w:sz w:val="24"/>
          <w:szCs w:val="20"/>
          <w:lang w:val="en-GB" w:eastAsia="ja-JP"/>
        </w:rPr>
        <w:t>-</w:t>
      </w:r>
      <w:r w:rsidR="00683220" w:rsidRPr="008C57EE">
        <w:rPr>
          <w:rFonts w:ascii="Arial" w:eastAsia="SimSun" w:hAnsi="Arial" w:cs="Times New Roman"/>
          <w:b/>
          <w:bCs/>
          <w:sz w:val="24"/>
          <w:szCs w:val="20"/>
          <w:lang w:val="en-GB" w:eastAsia="zh-CN"/>
        </w:rPr>
        <w:t>1</w:t>
      </w:r>
      <w:r w:rsidR="00DD555A" w:rsidRPr="008C57EE">
        <w:rPr>
          <w:rFonts w:ascii="Arial" w:eastAsia="SimSun" w:hAnsi="Arial" w:cs="Times New Roman"/>
          <w:b/>
          <w:bCs/>
          <w:sz w:val="24"/>
          <w:szCs w:val="20"/>
          <w:lang w:val="en-GB" w:eastAsia="zh-CN"/>
        </w:rPr>
        <w:t>9</w:t>
      </w:r>
      <w:r w:rsidR="00F231E7" w:rsidRPr="008C57EE">
        <w:rPr>
          <w:rFonts w:ascii="Arial" w:eastAsia="SimSun" w:hAnsi="Arial" w:cs="Times New Roman"/>
          <w:b/>
          <w:bCs/>
          <w:sz w:val="24"/>
          <w:szCs w:val="20"/>
          <w:lang w:val="en-GB" w:eastAsia="zh-CN"/>
        </w:rPr>
        <w:t>0</w:t>
      </w:r>
      <w:r w:rsidR="008C57EE" w:rsidRPr="008C57EE">
        <w:rPr>
          <w:rFonts w:ascii="Arial" w:eastAsia="SimSun" w:hAnsi="Arial" w:cs="Times New Roman"/>
          <w:b/>
          <w:bCs/>
          <w:color w:val="000000" w:themeColor="text1"/>
          <w:sz w:val="24"/>
          <w:szCs w:val="20"/>
          <w:lang w:val="en-GB" w:eastAsia="zh-CN"/>
        </w:rPr>
        <w:t>7190</w:t>
      </w:r>
      <w:bookmarkEnd w:id="3"/>
    </w:p>
    <w:p w:rsidR="00841BCD" w:rsidRPr="00841BCD" w:rsidRDefault="0020370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176671">
        <w:rPr>
          <w:rFonts w:ascii="Arial" w:eastAsia="SimSun" w:hAnsi="Arial" w:cs="Times New Roman"/>
          <w:b/>
          <w:sz w:val="24"/>
          <w:szCs w:val="20"/>
          <w:lang w:val="en-GB"/>
        </w:rPr>
        <w:t>,</w:t>
      </w:r>
      <w:r>
        <w:rPr>
          <w:rFonts w:ascii="Arial" w:eastAsia="SimSun" w:hAnsi="Arial" w:cs="Times New Roman"/>
          <w:b/>
          <w:sz w:val="24"/>
          <w:szCs w:val="20"/>
          <w:lang w:val="en-GB"/>
        </w:rPr>
        <w:t xml:space="preserve"> May</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1</w:t>
      </w:r>
      <w:r>
        <w:rPr>
          <w:rFonts w:ascii="Arial" w:eastAsia="SimSun" w:hAnsi="Arial" w:cs="Times New Roman"/>
          <w:b/>
          <w:sz w:val="24"/>
          <w:szCs w:val="20"/>
          <w:lang w:val="en-GB"/>
        </w:rPr>
        <w:t xml:space="preserve">7,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C7100">
        <w:rPr>
          <w:rFonts w:ascii="Arial" w:eastAsia="Calibri" w:hAnsi="Arial" w:cs="Arial"/>
          <w:b/>
          <w:bCs/>
          <w:sz w:val="24"/>
          <w:lang w:val="en-GB"/>
        </w:rPr>
        <w:t xml:space="preserve">Discussion on </w:t>
      </w:r>
      <w:r w:rsidR="0091651C">
        <w:rPr>
          <w:rFonts w:ascii="Arial" w:eastAsia="Calibri" w:hAnsi="Arial" w:cs="Arial"/>
          <w:b/>
          <w:bCs/>
          <w:sz w:val="24"/>
          <w:lang w:val="en-GB"/>
        </w:rPr>
        <w:t xml:space="preserve">PUR </w:t>
      </w:r>
      <w:r w:rsidR="00FC7100">
        <w:rPr>
          <w:rFonts w:ascii="Arial" w:eastAsia="Calibri" w:hAnsi="Arial" w:cs="Arial"/>
          <w:b/>
          <w:bCs/>
          <w:sz w:val="24"/>
          <w:lang w:val="en-GB"/>
        </w:rPr>
        <w:t xml:space="preserve">serving cell RSRP change attribute </w:t>
      </w:r>
      <w:r w:rsidR="0091651C">
        <w:rPr>
          <w:rFonts w:ascii="Arial" w:eastAsia="Calibri" w:hAnsi="Arial" w:cs="Arial"/>
          <w:b/>
          <w:bCs/>
          <w:sz w:val="24"/>
          <w:lang w:val="en-GB"/>
        </w:rPr>
        <w:t>for MTC</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B7010" w:rsidRPr="008B1B9F">
        <w:rPr>
          <w:rFonts w:ascii="Arial" w:eastAsia="MS Mincho" w:hAnsi="Arial" w:cs="Arial"/>
          <w:b/>
          <w:bCs/>
          <w:sz w:val="24"/>
          <w:szCs w:val="20"/>
          <w:lang w:val="en-GB"/>
        </w:rPr>
        <w:t>7</w:t>
      </w:r>
      <w:r w:rsidRPr="008B1B9F">
        <w:rPr>
          <w:rFonts w:ascii="Arial" w:eastAsia="MS Mincho" w:hAnsi="Arial" w:cs="Arial"/>
          <w:b/>
          <w:bCs/>
          <w:sz w:val="24"/>
          <w:szCs w:val="20"/>
          <w:lang w:val="en-GB"/>
        </w:rPr>
        <w:t>.</w:t>
      </w:r>
      <w:r w:rsidR="009D5F06" w:rsidRPr="008B1B9F">
        <w:rPr>
          <w:rFonts w:ascii="Arial" w:eastAsia="MS Mincho" w:hAnsi="Arial" w:cs="Arial"/>
          <w:b/>
          <w:bCs/>
          <w:sz w:val="24"/>
          <w:szCs w:val="20"/>
          <w:lang w:val="en-GB"/>
        </w:rPr>
        <w:t>1</w:t>
      </w:r>
      <w:r w:rsidR="006B7010" w:rsidRPr="008B1B9F">
        <w:rPr>
          <w:rFonts w:ascii="Arial" w:eastAsia="MS Mincho" w:hAnsi="Arial" w:cs="Arial"/>
          <w:b/>
          <w:bCs/>
          <w:sz w:val="24"/>
          <w:szCs w:val="20"/>
          <w:lang w:val="en-GB"/>
        </w:rPr>
        <w:t>2.</w:t>
      </w:r>
      <w:r w:rsidR="009D5F06" w:rsidRPr="008B1B9F">
        <w:rPr>
          <w:rFonts w:ascii="Arial" w:eastAsia="MS Mincho" w:hAnsi="Arial" w:cs="Arial"/>
          <w:b/>
          <w:bCs/>
          <w:sz w:val="24"/>
          <w:szCs w:val="20"/>
          <w:lang w:val="en-GB"/>
        </w:rPr>
        <w:t>3</w:t>
      </w:r>
      <w:r w:rsidR="008B1B9F" w:rsidRPr="008B1B9F">
        <w:rPr>
          <w:rFonts w:ascii="Arial" w:eastAsia="MS Mincho" w:hAnsi="Arial" w:cs="Arial"/>
          <w:b/>
          <w:bCs/>
          <w:sz w:val="24"/>
          <w:szCs w:val="20"/>
          <w:lang w:val="en-GB"/>
        </w:rPr>
        <w:t>.</w:t>
      </w:r>
      <w:r w:rsidR="00B50B0C">
        <w:rPr>
          <w:rFonts w:ascii="Arial" w:eastAsia="MS Mincho" w:hAnsi="Arial" w:cs="Arial"/>
          <w:b/>
          <w:bCs/>
          <w:sz w:val="24"/>
          <w:szCs w:val="20"/>
          <w:lang w:val="en-GB"/>
        </w:rPr>
        <w:t>4</w:t>
      </w:r>
    </w:p>
    <w:p w:rsidR="00841BCD" w:rsidRPr="00380AB5" w:rsidRDefault="00841BCD" w:rsidP="00841BCD">
      <w:pPr>
        <w:tabs>
          <w:tab w:val="left" w:pos="1985"/>
        </w:tabs>
        <w:rPr>
          <w:rFonts w:ascii="Arial" w:eastAsia="Calibri" w:hAnsi="Arial" w:cs="Arial"/>
          <w:b/>
          <w:bCs/>
          <w:sz w:val="24"/>
          <w:lang w:val="en-GB"/>
        </w:rPr>
      </w:pPr>
      <w:r w:rsidRPr="00380AB5">
        <w:rPr>
          <w:rFonts w:ascii="Arial" w:eastAsia="Calibri" w:hAnsi="Arial" w:cs="Arial"/>
          <w:b/>
          <w:bCs/>
          <w:sz w:val="24"/>
          <w:lang w:val="en-GB"/>
        </w:rPr>
        <w:t>Document for:</w:t>
      </w:r>
      <w:r w:rsidRPr="00380AB5">
        <w:rPr>
          <w:rFonts w:ascii="Arial" w:eastAsia="Calibri" w:hAnsi="Arial" w:cs="Arial"/>
          <w:b/>
          <w:bCs/>
          <w:sz w:val="24"/>
          <w:lang w:val="en-GB"/>
        </w:rPr>
        <w:tab/>
      </w:r>
      <w:r w:rsidR="00A503E4" w:rsidRPr="00380AB5">
        <w:rPr>
          <w:rFonts w:ascii="Arial" w:eastAsia="Calibri" w:hAnsi="Arial" w:cs="Arial"/>
          <w:b/>
          <w:bCs/>
          <w:sz w:val="24"/>
          <w:lang w:val="en-GB"/>
        </w:rPr>
        <w:t>Discussion</w:t>
      </w:r>
    </w:p>
    <w:p w:rsidR="00841BCD" w:rsidRPr="00380AB5" w:rsidRDefault="00841BCD" w:rsidP="00A37002">
      <w:pPr>
        <w:pStyle w:val="RAN4H1"/>
      </w:pPr>
      <w:r w:rsidRPr="00380AB5">
        <w:t>Intro</w:t>
      </w:r>
      <w:r w:rsidRPr="00380AB5">
        <w:rPr>
          <w:rStyle w:val="RAN4H1Char"/>
        </w:rPr>
        <w:t>ductio</w:t>
      </w:r>
      <w:r w:rsidRPr="00380AB5">
        <w:t>n</w:t>
      </w:r>
    </w:p>
    <w:p w:rsidR="00B50B0C" w:rsidRDefault="00A503E4" w:rsidP="00841BCD">
      <w:pPr>
        <w:ind w:right="-22"/>
        <w:rPr>
          <w:rFonts w:eastAsia="Calibri" w:cs="Times New Roman"/>
          <w:szCs w:val="20"/>
          <w:lang w:val="en-GB"/>
        </w:rPr>
      </w:pPr>
      <w:r w:rsidRPr="00380AB5">
        <w:rPr>
          <w:rFonts w:eastAsia="Calibri" w:cs="Times New Roman"/>
          <w:szCs w:val="20"/>
          <w:lang w:val="en-GB"/>
        </w:rPr>
        <w:t>At RAN4 #90</w:t>
      </w:r>
      <w:r w:rsidR="0020370A" w:rsidRPr="00380AB5">
        <w:rPr>
          <w:rFonts w:eastAsia="Calibri" w:cs="Times New Roman"/>
          <w:szCs w:val="20"/>
          <w:lang w:val="en-GB"/>
        </w:rPr>
        <w:t>-Bis</w:t>
      </w:r>
      <w:r w:rsidRPr="00380AB5">
        <w:rPr>
          <w:rFonts w:eastAsia="Calibri" w:cs="Times New Roman"/>
          <w:szCs w:val="20"/>
          <w:lang w:val="en-GB"/>
        </w:rPr>
        <w:t xml:space="preserve"> </w:t>
      </w:r>
      <w:r w:rsidR="00B50B0C">
        <w:rPr>
          <w:rFonts w:eastAsia="Calibri" w:cs="Times New Roman"/>
          <w:szCs w:val="20"/>
          <w:lang w:val="en-GB"/>
        </w:rPr>
        <w:t>the discussion on Preconfigured UL Resource (PUR) was continued. In the agreed WF [1] following items are listed.</w:t>
      </w:r>
    </w:p>
    <w:tbl>
      <w:tblPr>
        <w:tblStyle w:val="TableGrid"/>
        <w:tblW w:w="0" w:type="auto"/>
        <w:tblLook w:val="04A0" w:firstRow="1" w:lastRow="0" w:firstColumn="1" w:lastColumn="0" w:noHBand="0" w:noVBand="1"/>
      </w:tblPr>
      <w:tblGrid>
        <w:gridCol w:w="9617"/>
      </w:tblGrid>
      <w:tr w:rsidR="00B50B0C" w:rsidTr="00B50B0C">
        <w:tc>
          <w:tcPr>
            <w:tcW w:w="9617" w:type="dxa"/>
          </w:tcPr>
          <w:p w:rsidR="00B50B0C" w:rsidRPr="00FC7100" w:rsidRDefault="00B50B0C" w:rsidP="00B50B0C">
            <w:pPr>
              <w:numPr>
                <w:ilvl w:val="0"/>
                <w:numId w:val="24"/>
              </w:numPr>
              <w:spacing w:after="160" w:line="259" w:lineRule="auto"/>
              <w:ind w:right="-22"/>
              <w:rPr>
                <w:rFonts w:eastAsia="Calibri" w:cs="Times New Roman"/>
                <w:sz w:val="18"/>
                <w:szCs w:val="18"/>
                <w:lang w:val="en-GB"/>
              </w:rPr>
            </w:pPr>
            <w:r w:rsidRPr="00FC7100">
              <w:rPr>
                <w:rFonts w:eastAsia="Calibri" w:cs="Times New Roman"/>
                <w:sz w:val="18"/>
                <w:szCs w:val="18"/>
              </w:rPr>
              <w:t>Serving cell RSRP change based TA validation</w:t>
            </w:r>
          </w:p>
          <w:p w:rsidR="00B50B0C" w:rsidRPr="00FC7100" w:rsidRDefault="00B50B0C" w:rsidP="00B50B0C">
            <w:pPr>
              <w:numPr>
                <w:ilvl w:val="1"/>
                <w:numId w:val="24"/>
              </w:numPr>
              <w:spacing w:after="160" w:line="259" w:lineRule="auto"/>
              <w:ind w:right="-22"/>
              <w:rPr>
                <w:rFonts w:eastAsia="Calibri" w:cs="Times New Roman"/>
                <w:sz w:val="18"/>
                <w:szCs w:val="18"/>
                <w:lang w:val="en-GB"/>
              </w:rPr>
            </w:pPr>
            <w:r w:rsidRPr="00FC7100">
              <w:rPr>
                <w:rFonts w:eastAsia="Calibri" w:cs="Times New Roman"/>
                <w:sz w:val="18"/>
                <w:szCs w:val="18"/>
              </w:rPr>
              <w:t>The value(s) for the threshold(s) used for validating the TA are up to network implementation</w:t>
            </w:r>
          </w:p>
          <w:p w:rsidR="00B50B0C" w:rsidRPr="00FC7100" w:rsidRDefault="00B50B0C" w:rsidP="00B50B0C">
            <w:pPr>
              <w:numPr>
                <w:ilvl w:val="1"/>
                <w:numId w:val="24"/>
              </w:numPr>
              <w:spacing w:after="160" w:line="259" w:lineRule="auto"/>
              <w:ind w:right="-22"/>
              <w:rPr>
                <w:rFonts w:eastAsia="Calibri" w:cs="Times New Roman"/>
                <w:sz w:val="18"/>
                <w:szCs w:val="18"/>
                <w:lang w:val="en-GB"/>
              </w:rPr>
            </w:pPr>
            <w:r w:rsidRPr="00FC7100">
              <w:rPr>
                <w:rFonts w:eastAsia="Calibri" w:cs="Times New Roman"/>
                <w:sz w:val="18"/>
                <w:szCs w:val="18"/>
              </w:rPr>
              <w:t>Following options can be considered:</w:t>
            </w:r>
          </w:p>
          <w:p w:rsidR="00B50B0C" w:rsidRPr="00FC7100" w:rsidRDefault="00B50B0C" w:rsidP="00B50B0C">
            <w:pPr>
              <w:numPr>
                <w:ilvl w:val="2"/>
                <w:numId w:val="24"/>
              </w:numPr>
              <w:spacing w:after="160" w:line="259" w:lineRule="auto"/>
              <w:ind w:right="-22"/>
              <w:rPr>
                <w:rFonts w:eastAsia="Calibri" w:cs="Times New Roman"/>
                <w:sz w:val="18"/>
                <w:szCs w:val="18"/>
                <w:lang w:val="en-GB"/>
              </w:rPr>
            </w:pPr>
            <w:r w:rsidRPr="00FC7100">
              <w:rPr>
                <w:rFonts w:eastAsia="Calibri" w:cs="Times New Roman"/>
                <w:sz w:val="18"/>
                <w:szCs w:val="18"/>
              </w:rPr>
              <w:t xml:space="preserve">Option 1: Using relative RSRP change together with TA change or DL/UL timing change </w:t>
            </w:r>
          </w:p>
          <w:p w:rsidR="00B50B0C" w:rsidRPr="00FC7100" w:rsidRDefault="00B50B0C" w:rsidP="00B50B0C">
            <w:pPr>
              <w:numPr>
                <w:ilvl w:val="2"/>
                <w:numId w:val="24"/>
              </w:numPr>
              <w:spacing w:after="160" w:line="259" w:lineRule="auto"/>
              <w:ind w:right="-22"/>
              <w:rPr>
                <w:rFonts w:eastAsia="Calibri" w:cs="Times New Roman"/>
                <w:sz w:val="18"/>
                <w:szCs w:val="18"/>
                <w:lang w:val="en-GB"/>
              </w:rPr>
            </w:pPr>
            <w:r w:rsidRPr="00FC7100">
              <w:rPr>
                <w:rFonts w:eastAsia="Calibri" w:cs="Times New Roman"/>
                <w:sz w:val="18"/>
                <w:szCs w:val="18"/>
              </w:rPr>
              <w:t>Option 2: applying PUR only in normal coverage considering decreased RSRP accuracy in enhanced coverage.</w:t>
            </w:r>
          </w:p>
          <w:p w:rsidR="00B50B0C" w:rsidRPr="00FC7100" w:rsidRDefault="00B50B0C" w:rsidP="00B50B0C">
            <w:pPr>
              <w:numPr>
                <w:ilvl w:val="2"/>
                <w:numId w:val="24"/>
              </w:numPr>
              <w:spacing w:after="160" w:line="259" w:lineRule="auto"/>
              <w:ind w:right="-22"/>
              <w:rPr>
                <w:rFonts w:eastAsia="Calibri" w:cs="Times New Roman"/>
                <w:sz w:val="18"/>
                <w:szCs w:val="18"/>
                <w:lang w:val="en-GB"/>
              </w:rPr>
            </w:pPr>
            <w:r w:rsidRPr="00FC7100">
              <w:rPr>
                <w:rFonts w:eastAsia="Calibri" w:cs="Times New Roman"/>
                <w:sz w:val="18"/>
                <w:szCs w:val="18"/>
              </w:rPr>
              <w:t xml:space="preserve">Option 3: using only relative RSRP change against signaled threshold(s) </w:t>
            </w:r>
          </w:p>
          <w:p w:rsidR="00B50B0C" w:rsidRPr="00B50B0C" w:rsidRDefault="00B50B0C" w:rsidP="00FC7100">
            <w:pPr>
              <w:numPr>
                <w:ilvl w:val="1"/>
                <w:numId w:val="24"/>
              </w:numPr>
              <w:spacing w:after="120" w:line="259" w:lineRule="auto"/>
              <w:ind w:left="1434" w:right="-23" w:hanging="357"/>
              <w:rPr>
                <w:rFonts w:eastAsia="Calibri" w:cs="Times New Roman"/>
                <w:szCs w:val="20"/>
                <w:lang w:val="en-GB"/>
              </w:rPr>
            </w:pPr>
            <w:r w:rsidRPr="00FC7100">
              <w:rPr>
                <w:rFonts w:eastAsia="Calibri" w:cs="Times New Roman"/>
                <w:sz w:val="18"/>
                <w:szCs w:val="18"/>
              </w:rPr>
              <w:t>RAN4 is to study how PUR transmissions are aligned with configured DRX/</w:t>
            </w:r>
            <w:proofErr w:type="spellStart"/>
            <w:r w:rsidRPr="00FC7100">
              <w:rPr>
                <w:rFonts w:eastAsia="Calibri" w:cs="Times New Roman"/>
                <w:sz w:val="18"/>
                <w:szCs w:val="18"/>
              </w:rPr>
              <w:t>eDRX</w:t>
            </w:r>
            <w:proofErr w:type="spellEnd"/>
            <w:r w:rsidRPr="00FC7100">
              <w:rPr>
                <w:rFonts w:eastAsia="Calibri" w:cs="Times New Roman"/>
                <w:sz w:val="18"/>
                <w:szCs w:val="18"/>
              </w:rPr>
              <w:t xml:space="preserve"> and its impact on the synchronization state to perform PUR transmission.</w:t>
            </w:r>
          </w:p>
        </w:tc>
      </w:tr>
    </w:tbl>
    <w:p w:rsidR="00B50B0C" w:rsidRDefault="00B50B0C" w:rsidP="00FC7100">
      <w:pPr>
        <w:spacing w:after="0"/>
        <w:ind w:right="-23"/>
        <w:rPr>
          <w:rFonts w:eastAsia="Calibri" w:cs="Times New Roman"/>
          <w:szCs w:val="20"/>
          <w:lang w:val="en-GB"/>
        </w:rPr>
      </w:pPr>
      <w:r>
        <w:rPr>
          <w:rFonts w:eastAsia="Calibri" w:cs="Times New Roman"/>
          <w:szCs w:val="20"/>
          <w:lang w:val="en-GB"/>
        </w:rPr>
        <w:t xml:space="preserve">  </w:t>
      </w:r>
    </w:p>
    <w:p w:rsidR="00B50B0C" w:rsidRDefault="00B50B0C" w:rsidP="00B50B0C">
      <w:pPr>
        <w:ind w:right="-22"/>
        <w:rPr>
          <w:rFonts w:eastAsia="Calibri" w:cs="Times New Roman"/>
          <w:szCs w:val="20"/>
          <w:lang w:val="en-GB"/>
        </w:rPr>
      </w:pPr>
      <w:r>
        <w:rPr>
          <w:rFonts w:eastAsia="Calibri" w:cs="Times New Roman"/>
          <w:szCs w:val="20"/>
          <w:lang w:val="en-GB"/>
        </w:rPr>
        <w:t xml:space="preserve">This contribution </w:t>
      </w:r>
      <w:r w:rsidR="00FC7100">
        <w:rPr>
          <w:rFonts w:eastAsia="Calibri" w:cs="Times New Roman"/>
          <w:szCs w:val="20"/>
          <w:lang w:val="en-GB"/>
        </w:rPr>
        <w:t xml:space="preserve">refers to option 1 and </w:t>
      </w:r>
      <w:r>
        <w:rPr>
          <w:rFonts w:eastAsia="Calibri" w:cs="Times New Roman"/>
          <w:szCs w:val="20"/>
          <w:lang w:val="en-GB"/>
        </w:rPr>
        <w:t>deals with</w:t>
      </w:r>
      <w:r w:rsidR="00FC7100">
        <w:rPr>
          <w:rFonts w:eastAsia="Calibri" w:cs="Times New Roman"/>
          <w:szCs w:val="20"/>
          <w:lang w:val="en-GB"/>
        </w:rPr>
        <w:t xml:space="preserve"> </w:t>
      </w:r>
      <w:r>
        <w:rPr>
          <w:rFonts w:eastAsia="Calibri" w:cs="Times New Roman"/>
          <w:szCs w:val="20"/>
          <w:lang w:val="en-GB"/>
        </w:rPr>
        <w:t xml:space="preserve">the issue if the serving cell RSRP change </w:t>
      </w:r>
      <w:r w:rsidR="00FC7100">
        <w:rPr>
          <w:rFonts w:eastAsia="Calibri" w:cs="Times New Roman"/>
          <w:szCs w:val="20"/>
          <w:lang w:val="en-GB"/>
        </w:rPr>
        <w:t>attribute</w:t>
      </w:r>
      <w:r>
        <w:rPr>
          <w:rFonts w:eastAsia="Calibri" w:cs="Times New Roman"/>
          <w:szCs w:val="20"/>
          <w:lang w:val="en-GB"/>
        </w:rPr>
        <w:t xml:space="preserve"> can serve as an independent </w:t>
      </w:r>
      <w:r w:rsidR="00FC7100">
        <w:rPr>
          <w:rFonts w:eastAsia="Calibri" w:cs="Times New Roman"/>
          <w:szCs w:val="20"/>
          <w:lang w:val="en-GB"/>
        </w:rPr>
        <w:t>attribute</w:t>
      </w:r>
      <w:r>
        <w:rPr>
          <w:rFonts w:eastAsia="Calibri" w:cs="Times New Roman"/>
          <w:szCs w:val="20"/>
          <w:lang w:val="en-GB"/>
        </w:rPr>
        <w:t>.</w:t>
      </w:r>
    </w:p>
    <w:p w:rsidR="00961DC1" w:rsidRPr="00380AB5" w:rsidRDefault="00B97AEE" w:rsidP="003317B1">
      <w:pPr>
        <w:pStyle w:val="RAN4H1"/>
      </w:pPr>
      <w:r>
        <w:t>Discussion</w:t>
      </w:r>
    </w:p>
    <w:p w:rsidR="008C2BEA" w:rsidRDefault="008C2BEA" w:rsidP="008C2BEA">
      <w:pPr>
        <w:pStyle w:val="RAN4H2"/>
      </w:pPr>
      <w:r>
        <w:t xml:space="preserve">RAN1 agreements </w:t>
      </w:r>
    </w:p>
    <w:p w:rsidR="003317B1" w:rsidRDefault="002478F7" w:rsidP="00961DC1">
      <w:r>
        <w:t xml:space="preserve">Prior to transmission on PUR, the UE in idle mode is to validate a set of TA validation attributes according to RAN1 decision. Regarding the set of attributes for validating TA, </w:t>
      </w:r>
      <w:r w:rsidR="00B97AEE">
        <w:t>RAN1</w:t>
      </w:r>
      <w:r>
        <w:t xml:space="preserve"> #94bis had following agreement: </w:t>
      </w:r>
      <w:r w:rsidR="00B97AEE">
        <w:t xml:space="preserve"> </w:t>
      </w:r>
    </w:p>
    <w:tbl>
      <w:tblPr>
        <w:tblStyle w:val="TableGrid"/>
        <w:tblW w:w="0" w:type="auto"/>
        <w:tblLook w:val="04A0" w:firstRow="1" w:lastRow="0" w:firstColumn="1" w:lastColumn="0" w:noHBand="0" w:noVBand="1"/>
      </w:tblPr>
      <w:tblGrid>
        <w:gridCol w:w="9617"/>
      </w:tblGrid>
      <w:tr w:rsidR="002478F7" w:rsidTr="002478F7">
        <w:tc>
          <w:tcPr>
            <w:tcW w:w="9617" w:type="dxa"/>
          </w:tcPr>
          <w:p w:rsidR="002478F7" w:rsidRPr="002478F7" w:rsidRDefault="002478F7" w:rsidP="002478F7">
            <w:pPr>
              <w:pStyle w:val="Proposal"/>
              <w:rPr>
                <w:rFonts w:ascii="Times New Roman" w:hAnsi="Times New Roman"/>
                <w:sz w:val="18"/>
                <w:szCs w:val="18"/>
                <w:highlight w:val="green"/>
              </w:rPr>
            </w:pPr>
            <w:r w:rsidRPr="002478F7">
              <w:rPr>
                <w:rFonts w:ascii="Times New Roman" w:hAnsi="Times New Roman"/>
                <w:sz w:val="18"/>
                <w:szCs w:val="18"/>
                <w:highlight w:val="green"/>
              </w:rPr>
              <w:t>Agreement</w:t>
            </w:r>
          </w:p>
          <w:p w:rsidR="002478F7" w:rsidRPr="002478F7" w:rsidRDefault="002478F7" w:rsidP="002478F7">
            <w:pPr>
              <w:pStyle w:val="Proposal"/>
              <w:tabs>
                <w:tab w:val="left" w:pos="0"/>
              </w:tabs>
              <w:ind w:left="0" w:firstLine="0"/>
              <w:rPr>
                <w:rFonts w:ascii="Times New Roman" w:hAnsi="Times New Roman"/>
                <w:b w:val="0"/>
                <w:sz w:val="18"/>
                <w:szCs w:val="18"/>
              </w:rPr>
            </w:pPr>
            <w:r w:rsidRPr="002478F7">
              <w:rPr>
                <w:rFonts w:ascii="Times New Roman" w:hAnsi="Times New Roman"/>
                <w:b w:val="0"/>
                <w:sz w:val="18"/>
                <w:szCs w:val="18"/>
              </w:rPr>
              <w:t>In idle mode, the UE will at least consider one or more of the following attributes when validating TA (combination of multiple attributes is allowed):</w:t>
            </w:r>
          </w:p>
          <w:p w:rsidR="002478F7" w:rsidRPr="002478F7" w:rsidRDefault="002478F7" w:rsidP="002478F7">
            <w:pPr>
              <w:numPr>
                <w:ilvl w:val="0"/>
                <w:numId w:val="26"/>
              </w:numPr>
              <w:rPr>
                <w:rFonts w:eastAsia="Calibri" w:cs="Times New Roman"/>
                <w:sz w:val="18"/>
                <w:szCs w:val="18"/>
                <w:lang w:eastAsia="x-none"/>
              </w:rPr>
            </w:pPr>
            <w:r w:rsidRPr="002478F7">
              <w:rPr>
                <w:rFonts w:eastAsia="Calibri" w:cs="Times New Roman"/>
                <w:sz w:val="18"/>
                <w:szCs w:val="18"/>
                <w:lang w:eastAsia="x-none"/>
              </w:rPr>
              <w:t>Serving cell changes (serving cell refers the cell that the UE is camping on)</w:t>
            </w:r>
          </w:p>
          <w:p w:rsidR="002478F7" w:rsidRPr="002478F7" w:rsidRDefault="002478F7" w:rsidP="002478F7">
            <w:pPr>
              <w:numPr>
                <w:ilvl w:val="0"/>
                <w:numId w:val="26"/>
              </w:numPr>
              <w:rPr>
                <w:rFonts w:eastAsia="Calibri" w:cs="Times New Roman"/>
                <w:sz w:val="18"/>
                <w:szCs w:val="18"/>
                <w:lang w:eastAsia="x-none"/>
              </w:rPr>
            </w:pPr>
            <w:r w:rsidRPr="002478F7">
              <w:rPr>
                <w:rFonts w:eastAsia="Calibri" w:cs="Times New Roman"/>
                <w:sz w:val="18"/>
                <w:szCs w:val="18"/>
                <w:lang w:eastAsia="x-none"/>
              </w:rPr>
              <w:t xml:space="preserve">Time Alignment Timer for idle mode </w:t>
            </w:r>
          </w:p>
          <w:p w:rsidR="002478F7" w:rsidRPr="002478F7" w:rsidRDefault="002478F7" w:rsidP="002478F7">
            <w:pPr>
              <w:numPr>
                <w:ilvl w:val="0"/>
                <w:numId w:val="26"/>
              </w:numPr>
              <w:rPr>
                <w:rFonts w:eastAsia="Calibri" w:cs="Times New Roman"/>
                <w:sz w:val="18"/>
                <w:szCs w:val="18"/>
                <w:lang w:eastAsia="x-none"/>
              </w:rPr>
            </w:pPr>
            <w:r w:rsidRPr="002478F7">
              <w:rPr>
                <w:rFonts w:eastAsia="Calibri" w:cs="Times New Roman"/>
                <w:sz w:val="18"/>
                <w:szCs w:val="18"/>
                <w:lang w:eastAsia="x-none"/>
              </w:rPr>
              <w:t>Serving cell RSRP changes (serving cell refers the cell that the UE is camping on)</w:t>
            </w:r>
          </w:p>
          <w:p w:rsidR="002478F7" w:rsidRPr="002478F7" w:rsidRDefault="002478F7" w:rsidP="002478F7">
            <w:pPr>
              <w:numPr>
                <w:ilvl w:val="0"/>
                <w:numId w:val="26"/>
              </w:numPr>
              <w:rPr>
                <w:rFonts w:eastAsia="Calibri" w:cs="Times New Roman"/>
                <w:sz w:val="18"/>
                <w:szCs w:val="18"/>
                <w:lang w:eastAsia="x-none"/>
              </w:rPr>
            </w:pPr>
            <w:r w:rsidRPr="002478F7">
              <w:rPr>
                <w:rFonts w:eastAsia="Calibri" w:cs="Times New Roman"/>
                <w:sz w:val="18"/>
                <w:szCs w:val="18"/>
                <w:lang w:eastAsia="x-none"/>
              </w:rPr>
              <w:t xml:space="preserve">FFS Other attributes: </w:t>
            </w:r>
          </w:p>
          <w:p w:rsidR="002478F7" w:rsidRPr="002478F7" w:rsidRDefault="002478F7" w:rsidP="002478F7">
            <w:pPr>
              <w:numPr>
                <w:ilvl w:val="1"/>
                <w:numId w:val="26"/>
              </w:numPr>
              <w:rPr>
                <w:rFonts w:eastAsia="Calibri" w:cs="Times New Roman"/>
                <w:sz w:val="18"/>
                <w:szCs w:val="18"/>
                <w:lang w:eastAsia="x-none"/>
              </w:rPr>
            </w:pPr>
            <w:proofErr w:type="spellStart"/>
            <w:r w:rsidRPr="002478F7">
              <w:rPr>
                <w:rFonts w:eastAsia="Calibri" w:cs="Times New Roman"/>
                <w:sz w:val="18"/>
                <w:szCs w:val="18"/>
                <w:lang w:eastAsia="x-none"/>
              </w:rPr>
              <w:t>Neighbour</w:t>
            </w:r>
            <w:proofErr w:type="spellEnd"/>
            <w:r w:rsidRPr="002478F7">
              <w:rPr>
                <w:rFonts w:eastAsia="Calibri" w:cs="Times New Roman"/>
                <w:sz w:val="18"/>
                <w:szCs w:val="18"/>
                <w:lang w:eastAsia="x-none"/>
              </w:rPr>
              <w:t xml:space="preserve"> cell RSRP change</w:t>
            </w:r>
          </w:p>
          <w:p w:rsidR="002478F7" w:rsidRPr="002478F7" w:rsidRDefault="002478F7" w:rsidP="002478F7">
            <w:pPr>
              <w:numPr>
                <w:ilvl w:val="1"/>
                <w:numId w:val="26"/>
              </w:numPr>
              <w:rPr>
                <w:rFonts w:eastAsia="Calibri" w:cs="Times New Roman"/>
                <w:sz w:val="18"/>
                <w:szCs w:val="18"/>
                <w:lang w:eastAsia="x-none"/>
              </w:rPr>
            </w:pPr>
            <w:r w:rsidRPr="002478F7">
              <w:rPr>
                <w:rFonts w:eastAsia="Calibri" w:cs="Times New Roman"/>
                <w:sz w:val="18"/>
                <w:szCs w:val="18"/>
                <w:lang w:eastAsia="x-none"/>
              </w:rPr>
              <w:t xml:space="preserve">TDOA of &gt;=2 </w:t>
            </w:r>
            <w:proofErr w:type="spellStart"/>
            <w:r w:rsidRPr="002478F7">
              <w:rPr>
                <w:rFonts w:eastAsia="Calibri" w:cs="Times New Roman"/>
                <w:sz w:val="18"/>
                <w:szCs w:val="18"/>
                <w:lang w:eastAsia="x-none"/>
              </w:rPr>
              <w:t>eNBs</w:t>
            </w:r>
            <w:proofErr w:type="spellEnd"/>
            <w:r w:rsidRPr="002478F7">
              <w:rPr>
                <w:rFonts w:eastAsia="Calibri" w:cs="Times New Roman"/>
                <w:sz w:val="18"/>
                <w:szCs w:val="18"/>
                <w:lang w:eastAsia="x-none"/>
              </w:rPr>
              <w:t xml:space="preserve"> </w:t>
            </w:r>
          </w:p>
          <w:p w:rsidR="002478F7" w:rsidRPr="002478F7" w:rsidRDefault="002478F7" w:rsidP="002478F7">
            <w:pPr>
              <w:numPr>
                <w:ilvl w:val="1"/>
                <w:numId w:val="26"/>
              </w:numPr>
              <w:rPr>
                <w:rFonts w:eastAsia="Calibri" w:cs="Times New Roman"/>
                <w:sz w:val="18"/>
                <w:szCs w:val="18"/>
                <w:lang w:eastAsia="x-none"/>
              </w:rPr>
            </w:pPr>
            <w:r w:rsidRPr="002478F7">
              <w:rPr>
                <w:rFonts w:eastAsia="Calibri" w:cs="Times New Roman"/>
                <w:sz w:val="18"/>
                <w:szCs w:val="18"/>
                <w:lang w:eastAsia="x-none"/>
              </w:rPr>
              <w:t>TA History</w:t>
            </w:r>
          </w:p>
          <w:p w:rsidR="002478F7" w:rsidRPr="002478F7" w:rsidRDefault="002478F7" w:rsidP="002478F7">
            <w:pPr>
              <w:numPr>
                <w:ilvl w:val="1"/>
                <w:numId w:val="26"/>
              </w:numPr>
              <w:rPr>
                <w:rFonts w:eastAsia="Calibri" w:cs="Times New Roman"/>
                <w:sz w:val="18"/>
                <w:szCs w:val="18"/>
                <w:lang w:eastAsia="x-none"/>
              </w:rPr>
            </w:pPr>
            <w:r w:rsidRPr="002478F7">
              <w:rPr>
                <w:rFonts w:eastAsia="Calibri" w:cs="Times New Roman"/>
                <w:sz w:val="18"/>
                <w:szCs w:val="18"/>
                <w:lang w:eastAsia="x-none"/>
              </w:rPr>
              <w:t>Subscription based UE differentiation</w:t>
            </w:r>
          </w:p>
          <w:p w:rsidR="002478F7" w:rsidRPr="002478F7" w:rsidRDefault="002478F7" w:rsidP="002478F7">
            <w:pPr>
              <w:numPr>
                <w:ilvl w:val="1"/>
                <w:numId w:val="26"/>
              </w:numPr>
              <w:rPr>
                <w:rFonts w:eastAsia="Calibri" w:cs="Times New Roman"/>
                <w:sz w:val="18"/>
                <w:szCs w:val="18"/>
                <w:lang w:eastAsia="x-none"/>
              </w:rPr>
            </w:pPr>
            <w:r w:rsidRPr="002478F7">
              <w:rPr>
                <w:rFonts w:eastAsia="Calibri" w:cs="Times New Roman"/>
                <w:sz w:val="18"/>
                <w:szCs w:val="18"/>
                <w:lang w:eastAsia="x-none"/>
              </w:rPr>
              <w:t>Others not precluded (for example, attributes that need to be considered for high mobility UEs)</w:t>
            </w:r>
          </w:p>
          <w:p w:rsidR="002478F7" w:rsidRPr="002478F7" w:rsidRDefault="002478F7" w:rsidP="002478F7">
            <w:pPr>
              <w:pStyle w:val="Proposal"/>
              <w:tabs>
                <w:tab w:val="left" w:pos="0"/>
              </w:tabs>
              <w:spacing w:after="120"/>
              <w:ind w:left="0" w:firstLine="0"/>
              <w:rPr>
                <w:b w:val="0"/>
                <w:sz w:val="18"/>
                <w:szCs w:val="22"/>
              </w:rPr>
            </w:pPr>
            <w:r w:rsidRPr="002478F7">
              <w:rPr>
                <w:rFonts w:ascii="Times New Roman" w:hAnsi="Times New Roman"/>
                <w:b w:val="0"/>
                <w:sz w:val="18"/>
                <w:szCs w:val="18"/>
              </w:rPr>
              <w:t xml:space="preserve">Note that UE power consumption should be </w:t>
            </w:r>
            <w:proofErr w:type="gramStart"/>
            <w:r w:rsidRPr="002478F7">
              <w:rPr>
                <w:rFonts w:ascii="Times New Roman" w:hAnsi="Times New Roman"/>
                <w:b w:val="0"/>
                <w:sz w:val="18"/>
                <w:szCs w:val="18"/>
              </w:rPr>
              <w:t>taken into account</w:t>
            </w:r>
            <w:proofErr w:type="gramEnd"/>
            <w:r w:rsidRPr="002478F7">
              <w:rPr>
                <w:rFonts w:ascii="Times New Roman" w:hAnsi="Times New Roman"/>
                <w:b w:val="0"/>
                <w:sz w:val="18"/>
                <w:szCs w:val="18"/>
              </w:rPr>
              <w:t xml:space="preserve"> for the FFS attributes</w:t>
            </w:r>
          </w:p>
        </w:tc>
      </w:tr>
    </w:tbl>
    <w:p w:rsidR="002478F7" w:rsidRDefault="002478F7" w:rsidP="00FC7100">
      <w:pPr>
        <w:spacing w:after="0"/>
      </w:pPr>
    </w:p>
    <w:p w:rsidR="002478F7" w:rsidRDefault="002478F7" w:rsidP="00961DC1">
      <w:r>
        <w:t>RAN1#95 made further agreements and sent LS to RAN4 in [2].</w:t>
      </w:r>
    </w:p>
    <w:tbl>
      <w:tblPr>
        <w:tblStyle w:val="TableGrid"/>
        <w:tblW w:w="0" w:type="auto"/>
        <w:tblLook w:val="04A0" w:firstRow="1" w:lastRow="0" w:firstColumn="1" w:lastColumn="0" w:noHBand="0" w:noVBand="1"/>
      </w:tblPr>
      <w:tblGrid>
        <w:gridCol w:w="9617"/>
      </w:tblGrid>
      <w:tr w:rsidR="002478F7" w:rsidTr="002478F7">
        <w:tc>
          <w:tcPr>
            <w:tcW w:w="9617" w:type="dxa"/>
          </w:tcPr>
          <w:p w:rsidR="002478F7" w:rsidRPr="002845FC" w:rsidRDefault="002478F7" w:rsidP="002478F7">
            <w:pPr>
              <w:pStyle w:val="PropObs"/>
              <w:numPr>
                <w:ilvl w:val="0"/>
                <w:numId w:val="0"/>
              </w:numPr>
              <w:ind w:left="1134" w:hanging="1134"/>
              <w:rPr>
                <w:rFonts w:ascii="Times New Roman" w:hAnsi="Times New Roman"/>
                <w:sz w:val="18"/>
                <w:highlight w:val="green"/>
              </w:rPr>
            </w:pPr>
            <w:r w:rsidRPr="002845FC">
              <w:rPr>
                <w:rFonts w:ascii="Times New Roman" w:hAnsi="Times New Roman"/>
                <w:sz w:val="18"/>
                <w:highlight w:val="green"/>
              </w:rPr>
              <w:t xml:space="preserve">Agreement </w:t>
            </w:r>
          </w:p>
          <w:p w:rsidR="002478F7" w:rsidRPr="002478F7" w:rsidRDefault="002478F7" w:rsidP="002478F7">
            <w:pPr>
              <w:pStyle w:val="PropObs"/>
              <w:numPr>
                <w:ilvl w:val="0"/>
                <w:numId w:val="0"/>
              </w:numPr>
              <w:rPr>
                <w:rFonts w:ascii="Times New Roman" w:hAnsi="Times New Roman" w:cs="Times New Roman"/>
                <w:b w:val="0"/>
                <w:sz w:val="18"/>
              </w:rPr>
            </w:pPr>
            <w:r w:rsidRPr="002478F7">
              <w:rPr>
                <w:rFonts w:ascii="Times New Roman" w:hAnsi="Times New Roman" w:cs="Times New Roman"/>
                <w:b w:val="0"/>
                <w:sz w:val="18"/>
              </w:rPr>
              <w:t>In idle mode, at least the following TA validation attributes are supported:</w:t>
            </w:r>
          </w:p>
          <w:p w:rsidR="002478F7" w:rsidRPr="002478F7" w:rsidRDefault="002478F7" w:rsidP="002478F7">
            <w:pPr>
              <w:numPr>
                <w:ilvl w:val="0"/>
                <w:numId w:val="28"/>
              </w:numPr>
              <w:rPr>
                <w:rFonts w:eastAsia="Calibri" w:cs="Times New Roman"/>
                <w:sz w:val="18"/>
                <w:lang w:eastAsia="x-none"/>
              </w:rPr>
            </w:pPr>
            <w:r w:rsidRPr="002478F7">
              <w:rPr>
                <w:rFonts w:eastAsia="Calibri" w:cs="Times New Roman"/>
                <w:sz w:val="18"/>
                <w:lang w:eastAsia="x-none"/>
              </w:rPr>
              <w:t>Serving cell changes (serving cell refers the cell that the UE is camping on)</w:t>
            </w:r>
          </w:p>
          <w:p w:rsidR="002478F7" w:rsidRPr="002478F7" w:rsidRDefault="002478F7" w:rsidP="002478F7">
            <w:pPr>
              <w:numPr>
                <w:ilvl w:val="0"/>
                <w:numId w:val="28"/>
              </w:numPr>
              <w:rPr>
                <w:rFonts w:eastAsia="Calibri" w:cs="Times New Roman"/>
                <w:sz w:val="18"/>
                <w:lang w:eastAsia="x-none"/>
              </w:rPr>
            </w:pPr>
            <w:r w:rsidRPr="002478F7">
              <w:rPr>
                <w:rFonts w:eastAsia="Calibri" w:cs="Times New Roman"/>
                <w:sz w:val="18"/>
                <w:lang w:eastAsia="x-none"/>
              </w:rPr>
              <w:lastRenderedPageBreak/>
              <w:t xml:space="preserve">Time Alignment Timer for idle mode </w:t>
            </w:r>
          </w:p>
          <w:p w:rsidR="002478F7" w:rsidRPr="002478F7" w:rsidRDefault="002478F7" w:rsidP="002478F7">
            <w:pPr>
              <w:numPr>
                <w:ilvl w:val="0"/>
                <w:numId w:val="28"/>
              </w:numPr>
              <w:rPr>
                <w:rFonts w:eastAsia="Calibri" w:cs="Times New Roman"/>
                <w:sz w:val="18"/>
                <w:lang w:eastAsia="x-none"/>
              </w:rPr>
            </w:pPr>
            <w:r w:rsidRPr="002478F7">
              <w:rPr>
                <w:rFonts w:eastAsia="Calibri" w:cs="Times New Roman"/>
                <w:sz w:val="18"/>
                <w:lang w:eastAsia="x-none"/>
              </w:rPr>
              <w:t>Serving cell RSRP changes (serving cell refers the cell that the UE is camping on)</w:t>
            </w:r>
          </w:p>
          <w:p w:rsidR="002478F7" w:rsidRPr="002478F7" w:rsidRDefault="002478F7" w:rsidP="002478F7">
            <w:pPr>
              <w:numPr>
                <w:ilvl w:val="1"/>
                <w:numId w:val="28"/>
              </w:numPr>
              <w:rPr>
                <w:rFonts w:eastAsia="Calibri" w:cs="Times New Roman"/>
                <w:sz w:val="18"/>
                <w:lang w:eastAsia="x-none"/>
              </w:rPr>
            </w:pPr>
            <w:r w:rsidRPr="002478F7">
              <w:rPr>
                <w:rFonts w:eastAsia="Calibri" w:cs="Times New Roman"/>
                <w:sz w:val="18"/>
                <w:lang w:eastAsia="x-none"/>
              </w:rPr>
              <w:t>Based on RSRP measurement definition in existing Rel-15 TS36.214</w:t>
            </w:r>
          </w:p>
          <w:p w:rsidR="002478F7" w:rsidRPr="002478F7" w:rsidRDefault="002478F7" w:rsidP="002478F7">
            <w:pPr>
              <w:rPr>
                <w:rFonts w:eastAsia="Calibri" w:cs="Times New Roman"/>
                <w:sz w:val="18"/>
                <w:lang w:eastAsia="x-none"/>
              </w:rPr>
            </w:pPr>
            <w:r w:rsidRPr="002478F7">
              <w:rPr>
                <w:rFonts w:eastAsia="Calibri" w:cs="Times New Roman"/>
                <w:sz w:val="18"/>
                <w:lang w:eastAsia="x-none"/>
              </w:rPr>
              <w:t xml:space="preserve">Include in LS to RAN2, RAN4 to consider in their work. </w:t>
            </w:r>
          </w:p>
          <w:p w:rsidR="002478F7" w:rsidRPr="002478F7" w:rsidRDefault="002478F7" w:rsidP="002478F7">
            <w:pPr>
              <w:rPr>
                <w:rFonts w:eastAsia="Calibri" w:cs="Times New Roman"/>
                <w:sz w:val="18"/>
                <w:lang w:eastAsia="x-none"/>
              </w:rPr>
            </w:pPr>
          </w:p>
          <w:p w:rsidR="002478F7" w:rsidRPr="002478F7" w:rsidRDefault="002478F7" w:rsidP="002478F7">
            <w:pPr>
              <w:pStyle w:val="PropObs"/>
              <w:numPr>
                <w:ilvl w:val="0"/>
                <w:numId w:val="0"/>
              </w:numPr>
              <w:ind w:left="1134" w:hanging="1134"/>
              <w:rPr>
                <w:rFonts w:ascii="Times New Roman" w:eastAsia="Times New Roman" w:hAnsi="Times New Roman" w:cs="Times New Roman"/>
                <w:sz w:val="18"/>
                <w:szCs w:val="24"/>
                <w:highlight w:val="green"/>
                <w:lang w:eastAsia="en-US"/>
              </w:rPr>
            </w:pPr>
            <w:r w:rsidRPr="002478F7">
              <w:rPr>
                <w:rFonts w:ascii="Times New Roman" w:eastAsia="Times New Roman" w:hAnsi="Times New Roman" w:cs="Times New Roman"/>
                <w:sz w:val="18"/>
                <w:szCs w:val="24"/>
                <w:highlight w:val="green"/>
                <w:lang w:eastAsia="en-US"/>
              </w:rPr>
              <w:t>Agreement</w:t>
            </w:r>
          </w:p>
          <w:p w:rsidR="002478F7" w:rsidRPr="002478F7" w:rsidRDefault="002478F7" w:rsidP="002478F7">
            <w:pPr>
              <w:pStyle w:val="PropObs"/>
              <w:numPr>
                <w:ilvl w:val="0"/>
                <w:numId w:val="0"/>
              </w:numPr>
              <w:rPr>
                <w:rFonts w:ascii="Times New Roman" w:eastAsia="Times New Roman" w:hAnsi="Times New Roman" w:cs="Times New Roman"/>
                <w:b w:val="0"/>
                <w:sz w:val="18"/>
                <w:szCs w:val="24"/>
                <w:lang w:eastAsia="en-US"/>
              </w:rPr>
            </w:pPr>
            <w:r w:rsidRPr="002478F7">
              <w:rPr>
                <w:rFonts w:ascii="Times New Roman" w:eastAsia="Times New Roman" w:hAnsi="Times New Roman" w:cs="Times New Roman"/>
                <w:b w:val="0"/>
                <w:sz w:val="18"/>
                <w:szCs w:val="24"/>
                <w:lang w:eastAsia="en-US"/>
              </w:rPr>
              <w:t>The UE can be configured to use at least these TA validation attributes:</w:t>
            </w:r>
          </w:p>
          <w:p w:rsidR="002478F7" w:rsidRPr="002478F7" w:rsidRDefault="002478F7" w:rsidP="002478F7">
            <w:pPr>
              <w:numPr>
                <w:ilvl w:val="0"/>
                <w:numId w:val="28"/>
              </w:numPr>
              <w:rPr>
                <w:rFonts w:eastAsia="Calibri" w:cs="Times New Roman"/>
                <w:sz w:val="18"/>
                <w:lang w:eastAsia="x-none"/>
              </w:rPr>
            </w:pPr>
            <w:r w:rsidRPr="002478F7">
              <w:rPr>
                <w:rFonts w:eastAsia="Calibri" w:cs="Times New Roman"/>
                <w:sz w:val="18"/>
                <w:lang w:eastAsia="x-none"/>
              </w:rPr>
              <w:t xml:space="preserve">Time Alignment Timer for idle mode </w:t>
            </w:r>
          </w:p>
          <w:p w:rsidR="002478F7" w:rsidRPr="002478F7" w:rsidRDefault="002478F7" w:rsidP="002478F7">
            <w:pPr>
              <w:numPr>
                <w:ilvl w:val="0"/>
                <w:numId w:val="28"/>
              </w:numPr>
              <w:rPr>
                <w:rFonts w:eastAsia="Calibri" w:cs="Times New Roman"/>
                <w:sz w:val="18"/>
                <w:lang w:eastAsia="x-none"/>
              </w:rPr>
            </w:pPr>
            <w:r w:rsidRPr="002478F7">
              <w:rPr>
                <w:rFonts w:eastAsia="Calibri" w:cs="Times New Roman"/>
                <w:sz w:val="18"/>
                <w:lang w:eastAsia="x-none"/>
              </w:rPr>
              <w:t xml:space="preserve">Serving cell RSRP changes </w:t>
            </w:r>
          </w:p>
          <w:p w:rsidR="002478F7" w:rsidRPr="002478F7" w:rsidRDefault="002478F7" w:rsidP="002478F7">
            <w:pPr>
              <w:numPr>
                <w:ilvl w:val="0"/>
                <w:numId w:val="28"/>
              </w:numPr>
              <w:rPr>
                <w:rFonts w:eastAsia="Calibri" w:cs="Times New Roman"/>
                <w:sz w:val="18"/>
                <w:lang w:eastAsia="x-none"/>
              </w:rPr>
            </w:pPr>
            <w:r w:rsidRPr="002478F7">
              <w:rPr>
                <w:rFonts w:eastAsia="Calibri" w:cs="Times New Roman"/>
                <w:sz w:val="18"/>
                <w:lang w:eastAsia="x-none"/>
              </w:rPr>
              <w:t>Note: the configuration shall support disabling of the TA validation attributes</w:t>
            </w:r>
          </w:p>
          <w:p w:rsidR="002478F7" w:rsidRPr="002478F7" w:rsidRDefault="002478F7" w:rsidP="00DA1BB5">
            <w:pPr>
              <w:spacing w:after="120"/>
              <w:rPr>
                <w:rFonts w:eastAsia="Calibri"/>
                <w:sz w:val="18"/>
                <w:lang w:eastAsia="x-none"/>
              </w:rPr>
            </w:pPr>
            <w:r w:rsidRPr="002478F7">
              <w:rPr>
                <w:rFonts w:eastAsia="Calibri" w:cs="Times New Roman"/>
                <w:sz w:val="18"/>
                <w:lang w:eastAsia="x-none"/>
              </w:rPr>
              <w:t>Include in LS to RAN2, RAN4</w:t>
            </w:r>
          </w:p>
        </w:tc>
      </w:tr>
    </w:tbl>
    <w:p w:rsidR="00B97AEE" w:rsidRDefault="00B97AEE" w:rsidP="00DA1BB5">
      <w:pPr>
        <w:spacing w:after="0"/>
        <w:rPr>
          <w:rFonts w:eastAsia="Calibri" w:cs="Times New Roman"/>
          <w:color w:val="000000" w:themeColor="text1"/>
          <w:szCs w:val="20"/>
          <w:lang w:val="en-GB"/>
        </w:rPr>
      </w:pPr>
    </w:p>
    <w:p w:rsidR="002478F7" w:rsidRDefault="002478F7" w:rsidP="00B97AEE">
      <w:pPr>
        <w:rPr>
          <w:rFonts w:eastAsia="Calibri" w:cs="Times New Roman"/>
          <w:color w:val="000000" w:themeColor="text1"/>
          <w:szCs w:val="20"/>
          <w:lang w:val="en-GB"/>
        </w:rPr>
      </w:pPr>
      <w:r>
        <w:rPr>
          <w:rFonts w:eastAsia="Calibri" w:cs="Times New Roman"/>
          <w:color w:val="000000" w:themeColor="text1"/>
          <w:szCs w:val="20"/>
          <w:lang w:val="en-GB"/>
        </w:rPr>
        <w:t xml:space="preserve">From the above, it appears that a UE </w:t>
      </w:r>
      <w:r w:rsidR="00DA1BB5">
        <w:rPr>
          <w:rFonts w:eastAsia="Calibri" w:cs="Times New Roman"/>
          <w:color w:val="000000" w:themeColor="text1"/>
          <w:szCs w:val="20"/>
          <w:lang w:val="en-GB"/>
        </w:rPr>
        <w:t xml:space="preserve">in idle mode </w:t>
      </w:r>
      <w:r>
        <w:rPr>
          <w:rFonts w:eastAsia="Calibri" w:cs="Times New Roman"/>
          <w:color w:val="000000" w:themeColor="text1"/>
          <w:szCs w:val="20"/>
          <w:lang w:val="en-GB"/>
        </w:rPr>
        <w:t xml:space="preserve">can be configured with either of the </w:t>
      </w:r>
      <w:r w:rsidR="00DA1BB5">
        <w:rPr>
          <w:rFonts w:eastAsia="Calibri" w:cs="Times New Roman"/>
          <w:color w:val="000000" w:themeColor="text1"/>
          <w:szCs w:val="20"/>
          <w:lang w:val="en-GB"/>
        </w:rPr>
        <w:t xml:space="preserve">following TA </w:t>
      </w:r>
      <w:r>
        <w:rPr>
          <w:rFonts w:eastAsia="Calibri" w:cs="Times New Roman"/>
          <w:color w:val="000000" w:themeColor="text1"/>
          <w:szCs w:val="20"/>
          <w:lang w:val="en-GB"/>
        </w:rPr>
        <w:t xml:space="preserve">validation </w:t>
      </w:r>
      <w:r w:rsidR="00DA1BB5">
        <w:rPr>
          <w:rFonts w:eastAsia="Calibri" w:cs="Times New Roman"/>
          <w:color w:val="000000" w:themeColor="text1"/>
          <w:szCs w:val="20"/>
          <w:lang w:val="en-GB"/>
        </w:rPr>
        <w:t xml:space="preserve">attributes </w:t>
      </w:r>
      <w:r>
        <w:rPr>
          <w:rFonts w:eastAsia="Calibri" w:cs="Times New Roman"/>
          <w:color w:val="000000" w:themeColor="text1"/>
          <w:szCs w:val="20"/>
          <w:lang w:val="en-GB"/>
        </w:rPr>
        <w:t xml:space="preserve"> </w:t>
      </w:r>
    </w:p>
    <w:p w:rsidR="00DA1BB5" w:rsidRPr="002478F7" w:rsidRDefault="00DA1BB5" w:rsidP="00DA1BB5">
      <w:pPr>
        <w:numPr>
          <w:ilvl w:val="0"/>
          <w:numId w:val="29"/>
        </w:numPr>
        <w:spacing w:after="0" w:line="240" w:lineRule="auto"/>
        <w:ind w:left="426" w:hanging="284"/>
        <w:rPr>
          <w:rFonts w:eastAsia="Calibri" w:cs="Times New Roman"/>
          <w:sz w:val="18"/>
          <w:lang w:eastAsia="x-none"/>
        </w:rPr>
      </w:pPr>
      <w:r w:rsidRPr="002478F7">
        <w:rPr>
          <w:rFonts w:eastAsia="Calibri" w:cs="Times New Roman"/>
          <w:sz w:val="18"/>
          <w:lang w:eastAsia="x-none"/>
        </w:rPr>
        <w:t>Serving cell change</w:t>
      </w:r>
    </w:p>
    <w:p w:rsidR="00DA1BB5" w:rsidRPr="002478F7" w:rsidRDefault="00DA1BB5" w:rsidP="00DA1BB5">
      <w:pPr>
        <w:numPr>
          <w:ilvl w:val="0"/>
          <w:numId w:val="29"/>
        </w:numPr>
        <w:spacing w:after="0" w:line="240" w:lineRule="auto"/>
        <w:ind w:left="426" w:hanging="284"/>
        <w:rPr>
          <w:rFonts w:eastAsia="Calibri" w:cs="Times New Roman"/>
          <w:sz w:val="18"/>
          <w:lang w:eastAsia="x-none"/>
        </w:rPr>
      </w:pPr>
      <w:r w:rsidRPr="002478F7">
        <w:rPr>
          <w:rFonts w:eastAsia="Calibri" w:cs="Times New Roman"/>
          <w:sz w:val="18"/>
          <w:lang w:eastAsia="x-none"/>
        </w:rPr>
        <w:t>Time Alignment Timer for idle mode</w:t>
      </w:r>
    </w:p>
    <w:p w:rsidR="00DA1BB5" w:rsidRPr="00DA1BB5" w:rsidRDefault="00DA1BB5" w:rsidP="00DA1BB5">
      <w:pPr>
        <w:pStyle w:val="ListParagraph"/>
        <w:numPr>
          <w:ilvl w:val="0"/>
          <w:numId w:val="29"/>
        </w:numPr>
        <w:ind w:left="426" w:hanging="284"/>
        <w:rPr>
          <w:rFonts w:eastAsia="Calibri" w:cs="Times New Roman"/>
          <w:color w:val="000000" w:themeColor="text1"/>
          <w:szCs w:val="20"/>
          <w:lang w:val="en-GB"/>
        </w:rPr>
      </w:pPr>
      <w:r w:rsidRPr="00DA1BB5">
        <w:rPr>
          <w:rFonts w:eastAsia="Calibri" w:cs="Times New Roman"/>
          <w:sz w:val="18"/>
          <w:lang w:eastAsia="x-none"/>
        </w:rPr>
        <w:t>Serving cell RSRP change</w:t>
      </w:r>
    </w:p>
    <w:p w:rsidR="00DA1BB5" w:rsidRDefault="00DA1BB5" w:rsidP="00DA1BB5">
      <w:pPr>
        <w:rPr>
          <w:rFonts w:eastAsia="Calibri" w:cs="Times New Roman"/>
          <w:color w:val="000000" w:themeColor="text1"/>
          <w:szCs w:val="20"/>
          <w:lang w:val="en-GB"/>
        </w:rPr>
      </w:pPr>
      <w:r>
        <w:rPr>
          <w:rFonts w:eastAsia="Calibri" w:cs="Times New Roman"/>
          <w:color w:val="000000" w:themeColor="text1"/>
          <w:szCs w:val="20"/>
          <w:lang w:val="en-GB"/>
        </w:rPr>
        <w:t xml:space="preserve">or any combination thereof. Furthermore, the combination of the second attribute (TAT for idle mode) and third attribute (serving cell RSRP change) shall be </w:t>
      </w:r>
      <w:r w:rsidR="00FC7100">
        <w:rPr>
          <w:rFonts w:eastAsia="Calibri" w:cs="Times New Roman"/>
          <w:color w:val="000000" w:themeColor="text1"/>
          <w:szCs w:val="20"/>
          <w:lang w:val="en-GB"/>
        </w:rPr>
        <w:t>configurable</w:t>
      </w:r>
      <w:r>
        <w:rPr>
          <w:rFonts w:eastAsia="Calibri" w:cs="Times New Roman"/>
          <w:color w:val="000000" w:themeColor="text1"/>
          <w:szCs w:val="20"/>
          <w:lang w:val="en-GB"/>
        </w:rPr>
        <w:t xml:space="preserve"> by the network. According to RAN1</w:t>
      </w:r>
      <w:r w:rsidR="00FC7100">
        <w:rPr>
          <w:rFonts w:eastAsia="Calibri" w:cs="Times New Roman"/>
          <w:color w:val="000000" w:themeColor="text1"/>
          <w:szCs w:val="20"/>
          <w:lang w:val="en-GB"/>
        </w:rPr>
        <w:t xml:space="preserve"> agreements</w:t>
      </w:r>
      <w:r>
        <w:rPr>
          <w:rFonts w:eastAsia="Calibri" w:cs="Times New Roman"/>
          <w:color w:val="000000" w:themeColor="text1"/>
          <w:szCs w:val="20"/>
          <w:lang w:val="en-GB"/>
        </w:rPr>
        <w:t xml:space="preserve">, the set of TA validation attributes </w:t>
      </w:r>
      <w:r w:rsidR="00FC7100">
        <w:rPr>
          <w:rFonts w:eastAsia="Calibri" w:cs="Times New Roman"/>
          <w:color w:val="000000" w:themeColor="text1"/>
          <w:szCs w:val="20"/>
          <w:lang w:val="en-GB"/>
        </w:rPr>
        <w:t xml:space="preserve">may only </w:t>
      </w:r>
      <w:r>
        <w:rPr>
          <w:rFonts w:eastAsia="Calibri" w:cs="Times New Roman"/>
          <w:color w:val="000000" w:themeColor="text1"/>
          <w:szCs w:val="20"/>
          <w:lang w:val="en-GB"/>
        </w:rPr>
        <w:t>contain</w:t>
      </w:r>
      <w:r w:rsidR="00FC7100">
        <w:rPr>
          <w:rFonts w:eastAsia="Calibri" w:cs="Times New Roman"/>
          <w:color w:val="000000" w:themeColor="text1"/>
          <w:szCs w:val="20"/>
          <w:lang w:val="en-GB"/>
        </w:rPr>
        <w:t xml:space="preserve"> </w:t>
      </w:r>
      <w:r>
        <w:rPr>
          <w:rFonts w:eastAsia="Calibri" w:cs="Times New Roman"/>
          <w:color w:val="000000" w:themeColor="text1"/>
          <w:szCs w:val="20"/>
          <w:lang w:val="en-GB"/>
        </w:rPr>
        <w:t xml:space="preserve">the serving cell RSRP change </w:t>
      </w:r>
      <w:r w:rsidR="00FC7100">
        <w:rPr>
          <w:rFonts w:eastAsia="Calibri" w:cs="Times New Roman"/>
          <w:color w:val="000000" w:themeColor="text1"/>
          <w:szCs w:val="20"/>
          <w:lang w:val="en-GB"/>
        </w:rPr>
        <w:t xml:space="preserve">attribute. </w:t>
      </w:r>
      <w:r>
        <w:rPr>
          <w:rFonts w:eastAsia="Calibri" w:cs="Times New Roman"/>
          <w:color w:val="000000" w:themeColor="text1"/>
          <w:szCs w:val="20"/>
          <w:lang w:val="en-GB"/>
        </w:rPr>
        <w:t xml:space="preserve"> </w:t>
      </w:r>
    </w:p>
    <w:p w:rsidR="00FC7100" w:rsidRDefault="00FC7100" w:rsidP="00DA1BB5">
      <w:pPr>
        <w:rPr>
          <w:rFonts w:eastAsia="Calibri" w:cs="Times New Roman"/>
          <w:color w:val="000000" w:themeColor="text1"/>
          <w:szCs w:val="20"/>
          <w:lang w:val="en-GB"/>
        </w:rPr>
      </w:pPr>
      <w:r>
        <w:rPr>
          <w:rFonts w:eastAsia="Calibri" w:cs="Times New Roman"/>
          <w:color w:val="000000" w:themeColor="text1"/>
          <w:szCs w:val="20"/>
          <w:lang w:val="en-GB"/>
        </w:rPr>
        <w:t>It is also noted that RAN1 #96bis came to following agreement:</w:t>
      </w:r>
    </w:p>
    <w:tbl>
      <w:tblPr>
        <w:tblStyle w:val="TableGrid"/>
        <w:tblW w:w="0" w:type="auto"/>
        <w:tblLook w:val="04A0" w:firstRow="1" w:lastRow="0" w:firstColumn="1" w:lastColumn="0" w:noHBand="0" w:noVBand="1"/>
      </w:tblPr>
      <w:tblGrid>
        <w:gridCol w:w="9617"/>
      </w:tblGrid>
      <w:tr w:rsidR="00FC7100" w:rsidTr="00FC7100">
        <w:tc>
          <w:tcPr>
            <w:tcW w:w="9617" w:type="dxa"/>
          </w:tcPr>
          <w:p w:rsidR="00FC7100" w:rsidRPr="002845FC" w:rsidRDefault="00FC7100" w:rsidP="00FC7100">
            <w:pPr>
              <w:pStyle w:val="PropObs"/>
              <w:numPr>
                <w:ilvl w:val="0"/>
                <w:numId w:val="0"/>
              </w:numPr>
              <w:tabs>
                <w:tab w:val="left" w:pos="1620"/>
              </w:tabs>
              <w:ind w:left="360" w:hanging="360"/>
              <w:rPr>
                <w:rFonts w:ascii="Times New Roman" w:hAnsi="Times New Roman"/>
                <w:sz w:val="18"/>
                <w:highlight w:val="green"/>
              </w:rPr>
            </w:pPr>
            <w:r w:rsidRPr="002845FC">
              <w:rPr>
                <w:rFonts w:ascii="Times New Roman" w:hAnsi="Times New Roman"/>
                <w:sz w:val="18"/>
                <w:highlight w:val="green"/>
              </w:rPr>
              <w:t>Agreement</w:t>
            </w:r>
          </w:p>
          <w:p w:rsidR="00FC7100" w:rsidRPr="00FC7100" w:rsidRDefault="00FC7100" w:rsidP="00FC7100">
            <w:pPr>
              <w:spacing w:after="120"/>
              <w:rPr>
                <w:rFonts w:eastAsia="Calibri"/>
                <w:sz w:val="28"/>
                <w:lang w:eastAsia="x-none"/>
              </w:rPr>
            </w:pPr>
            <w:r w:rsidRPr="002845FC">
              <w:rPr>
                <w:rFonts w:eastAsia="Calibri"/>
                <w:sz w:val="18"/>
              </w:rPr>
              <w:t xml:space="preserve">The value(s) of </w:t>
            </w:r>
            <w:r w:rsidRPr="002845FC">
              <w:rPr>
                <w:rFonts w:eastAsia="Calibri"/>
                <w:bCs/>
                <w:sz w:val="18"/>
              </w:rPr>
              <w:t>RSRP</w:t>
            </w:r>
            <w:r w:rsidRPr="002845FC">
              <w:rPr>
                <w:rFonts w:eastAsia="Calibri"/>
                <w:sz w:val="18"/>
              </w:rPr>
              <w:t xml:space="preserve"> threshold(s) is UE specific</w:t>
            </w:r>
          </w:p>
        </w:tc>
      </w:tr>
    </w:tbl>
    <w:p w:rsidR="00FC7100" w:rsidRDefault="00FC7100" w:rsidP="00FC7100">
      <w:pPr>
        <w:spacing w:after="0"/>
        <w:rPr>
          <w:rFonts w:eastAsia="Calibri" w:cs="Times New Roman"/>
          <w:color w:val="000000" w:themeColor="text1"/>
          <w:szCs w:val="20"/>
          <w:lang w:val="en-GB"/>
        </w:rPr>
      </w:pPr>
    </w:p>
    <w:p w:rsidR="008C2BEA" w:rsidRDefault="008C2BEA" w:rsidP="008C2BEA">
      <w:pPr>
        <w:pStyle w:val="RAN4H2"/>
        <w:rPr>
          <w:rFonts w:eastAsia="Calibri"/>
          <w:lang w:val="en-GB"/>
        </w:rPr>
      </w:pPr>
      <w:r>
        <w:rPr>
          <w:rFonts w:eastAsia="Calibri"/>
          <w:color w:val="000000" w:themeColor="text1"/>
          <w:lang w:val="en-GB"/>
        </w:rPr>
        <w:t>Serving cell RSRP change attribute</w:t>
      </w:r>
    </w:p>
    <w:p w:rsidR="008C2BEA" w:rsidRPr="00953E6A" w:rsidRDefault="0006735C" w:rsidP="00953E6A">
      <w:r>
        <w:t>One issue discussed at the last RAN4 #90bis meeting is, whether the serving cell RSRP change attribute</w:t>
      </w:r>
      <w:r w:rsidR="008772EC">
        <w:t>, if not combined with other attributes,</w:t>
      </w:r>
      <w:r>
        <w:t xml:space="preserve"> has </w:t>
      </w:r>
      <w:proofErr w:type="gramStart"/>
      <w:r>
        <w:t>sufficient</w:t>
      </w:r>
      <w:proofErr w:type="gramEnd"/>
      <w:r>
        <w:t xml:space="preserve"> reliability. </w:t>
      </w:r>
      <w:r w:rsidR="00953E6A">
        <w:t>To investigate this in more detail, the RSRP accuracy for UE category M1 is considered</w:t>
      </w:r>
      <w:r w:rsidR="008772EC">
        <w:t xml:space="preserve"> below</w:t>
      </w:r>
      <w:r w:rsidR="00953E6A">
        <w:t xml:space="preserve">. </w:t>
      </w:r>
    </w:p>
    <w:p w:rsidR="00B97AEE" w:rsidRDefault="00B97AEE" w:rsidP="00953E6A">
      <w:pPr>
        <w:pStyle w:val="RAN4H3"/>
        <w:rPr>
          <w:lang w:val="en-GB"/>
        </w:rPr>
      </w:pPr>
      <w:r>
        <w:rPr>
          <w:lang w:val="en-GB"/>
        </w:rPr>
        <w:t xml:space="preserve">RSRP Accuracy </w:t>
      </w:r>
    </w:p>
    <w:p w:rsidR="00B97AEE" w:rsidRDefault="00B97AEE" w:rsidP="00B97AEE">
      <w:pPr>
        <w:rPr>
          <w:rFonts w:eastAsia="Calibri" w:cs="Times New Roman"/>
          <w:color w:val="000000" w:themeColor="text1"/>
          <w:szCs w:val="20"/>
          <w:lang w:val="en-GB"/>
        </w:rPr>
      </w:pPr>
      <w:r>
        <w:rPr>
          <w:rFonts w:eastAsia="Calibri" w:cs="Times New Roman"/>
          <w:color w:val="000000" w:themeColor="text1"/>
          <w:szCs w:val="20"/>
          <w:lang w:val="en-GB"/>
        </w:rPr>
        <w:t xml:space="preserve">Existing intra-frequency absolute RSRP accuracy performance for </w:t>
      </w:r>
      <w:r w:rsidRPr="0099251A">
        <w:rPr>
          <w:rFonts w:eastAsia="Calibri" w:cs="Times New Roman"/>
          <w:color w:val="000000" w:themeColor="text1"/>
          <w:szCs w:val="20"/>
          <w:lang w:val="en-GB"/>
        </w:rPr>
        <w:t>UE category M1</w:t>
      </w:r>
      <w:r>
        <w:rPr>
          <w:rFonts w:eastAsia="Calibri" w:cs="Times New Roman"/>
          <w:color w:val="000000" w:themeColor="text1"/>
          <w:szCs w:val="20"/>
          <w:lang w:val="en-GB"/>
        </w:rPr>
        <w:t xml:space="preserve"> is specified in TS 36.133, subclause 9.1.21.1 for CE mode A and in subclause 9.1.21.3 for CE mode B and is summarized in Table 1 below.</w:t>
      </w:r>
    </w:p>
    <w:p w:rsidR="00B97AEE" w:rsidRPr="0099251A" w:rsidRDefault="00B97AEE" w:rsidP="00B97AEE">
      <w:pPr>
        <w:pStyle w:val="Caption"/>
        <w:keepNext/>
        <w:spacing w:before="120" w:after="60"/>
        <w:rPr>
          <w:rFonts w:eastAsia="Calibri" w:cs="Times New Roman"/>
          <w:b/>
          <w:i w:val="0"/>
          <w:sz w:val="20"/>
          <w:szCs w:val="20"/>
          <w:lang w:val="en-GB"/>
        </w:rPr>
      </w:pPr>
      <w:r w:rsidRPr="00380AB5">
        <w:rPr>
          <w:b/>
          <w:i w:val="0"/>
          <w:sz w:val="20"/>
          <w:szCs w:val="20"/>
        </w:rPr>
        <w:t xml:space="preserve">Table </w:t>
      </w:r>
      <w:r>
        <w:rPr>
          <w:b/>
          <w:i w:val="0"/>
          <w:noProof/>
          <w:sz w:val="20"/>
          <w:szCs w:val="20"/>
        </w:rPr>
        <w:t>1</w:t>
      </w:r>
      <w:r w:rsidRPr="00380AB5">
        <w:rPr>
          <w:b/>
          <w:i w:val="0"/>
          <w:sz w:val="20"/>
          <w:szCs w:val="20"/>
        </w:rPr>
        <w:t xml:space="preserve">: </w:t>
      </w:r>
      <w:r w:rsidRPr="0099251A">
        <w:rPr>
          <w:b/>
          <w:i w:val="0"/>
          <w:sz w:val="20"/>
          <w:szCs w:val="20"/>
        </w:rPr>
        <w:t>RSRP Intra frequency absolute accuracy for UE category M1</w:t>
      </w:r>
      <w:r>
        <w:rPr>
          <w:b/>
          <w:i w:val="0"/>
          <w:sz w:val="20"/>
          <w:szCs w:val="20"/>
        </w:rPr>
        <w:t xml:space="preserve"> in TS 36.133</w:t>
      </w:r>
      <w:r w:rsidRPr="00380AB5">
        <w:rPr>
          <w:rFonts w:eastAsia="Calibri" w:cs="Times New Roman"/>
          <w:b/>
          <w:i w:val="0"/>
          <w:sz w:val="20"/>
          <w:szCs w:val="20"/>
          <w:lang w:val="en-GB"/>
        </w:rPr>
        <w:t>.</w:t>
      </w:r>
    </w:p>
    <w:tbl>
      <w:tblPr>
        <w:tblStyle w:val="TableGrid"/>
        <w:tblW w:w="0" w:type="auto"/>
        <w:tblInd w:w="988" w:type="dxa"/>
        <w:tblLook w:val="04A0" w:firstRow="1" w:lastRow="0" w:firstColumn="1" w:lastColumn="0" w:noHBand="0" w:noVBand="1"/>
      </w:tblPr>
      <w:tblGrid>
        <w:gridCol w:w="3118"/>
        <w:gridCol w:w="4111"/>
      </w:tblGrid>
      <w:tr w:rsidR="00B97AEE" w:rsidTr="002245CF">
        <w:tc>
          <w:tcPr>
            <w:tcW w:w="3118" w:type="dxa"/>
          </w:tcPr>
          <w:p w:rsidR="00B97AEE" w:rsidRPr="0099251A" w:rsidRDefault="00B97AEE" w:rsidP="002245CF">
            <w:pPr>
              <w:rPr>
                <w:rFonts w:ascii="Arial" w:eastAsia="Calibri" w:hAnsi="Arial" w:cs="Arial"/>
                <w:b/>
                <w:color w:val="000000" w:themeColor="text1"/>
                <w:szCs w:val="20"/>
                <w:lang w:val="en-GB"/>
              </w:rPr>
            </w:pPr>
            <w:r w:rsidRPr="0099251A">
              <w:rPr>
                <w:rFonts w:ascii="Arial" w:eastAsia="Calibri" w:hAnsi="Arial" w:cs="Arial"/>
                <w:b/>
                <w:color w:val="000000" w:themeColor="text1"/>
                <w:szCs w:val="20"/>
                <w:lang w:val="en-GB"/>
              </w:rPr>
              <w:t>Normal condition</w:t>
            </w:r>
          </w:p>
        </w:tc>
        <w:tc>
          <w:tcPr>
            <w:tcW w:w="4111" w:type="dxa"/>
          </w:tcPr>
          <w:p w:rsidR="00B97AEE" w:rsidRPr="0099251A" w:rsidRDefault="00B97AEE" w:rsidP="002245CF">
            <w:pPr>
              <w:rPr>
                <w:rFonts w:ascii="Arial" w:eastAsia="Calibri" w:hAnsi="Arial" w:cs="Arial"/>
                <w:b/>
                <w:color w:val="000000" w:themeColor="text1"/>
                <w:szCs w:val="20"/>
                <w:lang w:val="en-GB"/>
              </w:rPr>
            </w:pPr>
            <w:r w:rsidRPr="0099251A">
              <w:rPr>
                <w:rFonts w:ascii="Arial" w:eastAsia="Calibri" w:hAnsi="Arial" w:cs="Arial"/>
                <w:b/>
                <w:color w:val="000000" w:themeColor="text1"/>
                <w:szCs w:val="20"/>
                <w:lang w:val="en-GB"/>
              </w:rPr>
              <w:t>RSRP intra frequency absolute accuracy</w:t>
            </w:r>
          </w:p>
        </w:tc>
      </w:tr>
      <w:tr w:rsidR="00B97AEE" w:rsidTr="002245CF">
        <w:tc>
          <w:tcPr>
            <w:tcW w:w="3118" w:type="dxa"/>
          </w:tcPr>
          <w:p w:rsidR="00B97AEE" w:rsidRPr="0099251A" w:rsidRDefault="00B97AEE" w:rsidP="002245CF">
            <w:pPr>
              <w:spacing w:before="60" w:after="60"/>
              <w:rPr>
                <w:rFonts w:ascii="Arial" w:eastAsia="Calibri" w:hAnsi="Arial" w:cs="Arial"/>
                <w:color w:val="000000" w:themeColor="text1"/>
                <w:szCs w:val="20"/>
                <w:lang w:val="en-GB"/>
              </w:rPr>
            </w:pPr>
            <w:r w:rsidRPr="0099251A">
              <w:rPr>
                <w:rFonts w:ascii="Arial" w:eastAsia="Calibri" w:hAnsi="Arial" w:cs="Arial"/>
                <w:color w:val="000000" w:themeColor="text1"/>
                <w:szCs w:val="20"/>
                <w:lang w:val="en-GB"/>
              </w:rPr>
              <w:t xml:space="preserve">CE mode A, </w:t>
            </w:r>
            <w:proofErr w:type="spellStart"/>
            <w:r w:rsidRPr="0099251A">
              <w:rPr>
                <w:rFonts w:ascii="Arial" w:hAnsi="Arial" w:cs="Arial"/>
              </w:rPr>
              <w:t>Ês</w:t>
            </w:r>
            <w:proofErr w:type="spellEnd"/>
            <w:r w:rsidRPr="0099251A">
              <w:rPr>
                <w:rFonts w:ascii="Arial" w:hAnsi="Arial" w:cs="Arial"/>
              </w:rPr>
              <w:t>/</w:t>
            </w:r>
            <w:proofErr w:type="spellStart"/>
            <w:r w:rsidRPr="0099251A">
              <w:rPr>
                <w:rFonts w:ascii="Arial" w:hAnsi="Arial" w:cs="Arial"/>
              </w:rPr>
              <w:t>Iot</w:t>
            </w:r>
            <w:proofErr w:type="spellEnd"/>
            <w:r w:rsidRPr="0099251A">
              <w:rPr>
                <w:rFonts w:ascii="Arial" w:hAnsi="Arial" w:cs="Arial"/>
              </w:rPr>
              <w:t xml:space="preserve"> </w:t>
            </w:r>
            <w:r w:rsidRPr="0099251A">
              <w:rPr>
                <w:rFonts w:ascii="Arial" w:hAnsi="Arial" w:cs="Arial"/>
              </w:rPr>
              <w:sym w:font="Symbol" w:char="F0B3"/>
            </w:r>
            <w:r w:rsidRPr="0099251A">
              <w:rPr>
                <w:rFonts w:ascii="Arial" w:hAnsi="Arial" w:cs="Arial"/>
              </w:rPr>
              <w:t>-6 dB</w:t>
            </w:r>
          </w:p>
        </w:tc>
        <w:tc>
          <w:tcPr>
            <w:tcW w:w="4111" w:type="dxa"/>
          </w:tcPr>
          <w:p w:rsidR="00B97AEE" w:rsidRPr="008E78A1" w:rsidRDefault="00B97AEE" w:rsidP="002245CF">
            <w:pPr>
              <w:spacing w:before="60" w:after="60"/>
              <w:jc w:val="center"/>
              <w:rPr>
                <w:rFonts w:ascii="Arial" w:hAnsi="Arial" w:cs="Arial"/>
                <w:lang w:eastAsia="zh-CN"/>
              </w:rPr>
            </w:pPr>
            <w:r w:rsidRPr="0099251A">
              <w:rPr>
                <w:rFonts w:ascii="Arial" w:hAnsi="Arial" w:cs="Arial"/>
              </w:rPr>
              <w:sym w:font="Symbol" w:char="F0B1"/>
            </w:r>
            <w:r w:rsidRPr="0099251A">
              <w:rPr>
                <w:rFonts w:ascii="Arial" w:hAnsi="Arial" w:cs="Arial"/>
                <w:lang w:eastAsia="zh-CN"/>
              </w:rPr>
              <w:t>7 dB</w:t>
            </w:r>
          </w:p>
        </w:tc>
      </w:tr>
      <w:tr w:rsidR="00B97AEE" w:rsidTr="002245CF">
        <w:tc>
          <w:tcPr>
            <w:tcW w:w="3118" w:type="dxa"/>
          </w:tcPr>
          <w:p w:rsidR="00B97AEE" w:rsidRPr="0099251A" w:rsidRDefault="00B97AEE" w:rsidP="002245CF">
            <w:pPr>
              <w:spacing w:before="60" w:after="60"/>
              <w:rPr>
                <w:rFonts w:ascii="Arial" w:eastAsia="Calibri" w:hAnsi="Arial" w:cs="Arial"/>
                <w:color w:val="000000" w:themeColor="text1"/>
                <w:szCs w:val="20"/>
                <w:lang w:val="en-GB"/>
              </w:rPr>
            </w:pPr>
            <w:r w:rsidRPr="0099251A">
              <w:rPr>
                <w:rFonts w:ascii="Arial" w:eastAsia="Calibri" w:hAnsi="Arial" w:cs="Arial"/>
                <w:color w:val="000000" w:themeColor="text1"/>
                <w:szCs w:val="20"/>
                <w:lang w:val="en-GB"/>
              </w:rPr>
              <w:t xml:space="preserve">CE mode B, </w:t>
            </w:r>
            <w:proofErr w:type="spellStart"/>
            <w:r w:rsidRPr="0099251A">
              <w:rPr>
                <w:rFonts w:ascii="Arial" w:hAnsi="Arial" w:cs="Arial"/>
              </w:rPr>
              <w:t>Ês</w:t>
            </w:r>
            <w:proofErr w:type="spellEnd"/>
            <w:r w:rsidRPr="0099251A">
              <w:rPr>
                <w:rFonts w:ascii="Arial" w:hAnsi="Arial" w:cs="Arial"/>
              </w:rPr>
              <w:t>/</w:t>
            </w:r>
            <w:proofErr w:type="spellStart"/>
            <w:r w:rsidRPr="0099251A">
              <w:rPr>
                <w:rFonts w:ascii="Arial" w:hAnsi="Arial" w:cs="Arial"/>
              </w:rPr>
              <w:t>Iot</w:t>
            </w:r>
            <w:proofErr w:type="spellEnd"/>
            <w:r w:rsidRPr="0099251A">
              <w:rPr>
                <w:rFonts w:ascii="Arial" w:hAnsi="Arial" w:cs="Arial"/>
              </w:rPr>
              <w:t xml:space="preserve"> </w:t>
            </w:r>
            <w:r w:rsidRPr="0099251A">
              <w:rPr>
                <w:rFonts w:ascii="Arial" w:hAnsi="Arial" w:cs="Arial"/>
              </w:rPr>
              <w:sym w:font="Symbol" w:char="F0B3"/>
            </w:r>
            <w:r w:rsidRPr="0099251A">
              <w:rPr>
                <w:rFonts w:ascii="Arial" w:hAnsi="Arial" w:cs="Arial"/>
              </w:rPr>
              <w:t>-12 dB</w:t>
            </w:r>
          </w:p>
        </w:tc>
        <w:tc>
          <w:tcPr>
            <w:tcW w:w="4111" w:type="dxa"/>
          </w:tcPr>
          <w:p w:rsidR="00B97AEE" w:rsidRPr="0099251A" w:rsidRDefault="00B97AEE" w:rsidP="002245CF">
            <w:pPr>
              <w:spacing w:before="60" w:after="60"/>
              <w:jc w:val="center"/>
              <w:rPr>
                <w:rFonts w:ascii="Arial" w:eastAsia="Calibri" w:hAnsi="Arial" w:cs="Arial"/>
                <w:color w:val="000000" w:themeColor="text1"/>
                <w:szCs w:val="20"/>
                <w:lang w:val="en-GB"/>
              </w:rPr>
            </w:pPr>
            <w:r w:rsidRPr="0099251A">
              <w:rPr>
                <w:rFonts w:ascii="Arial" w:hAnsi="Arial" w:cs="Arial"/>
              </w:rPr>
              <w:sym w:font="Symbol" w:char="F0B1"/>
            </w:r>
            <w:r w:rsidRPr="0099251A">
              <w:rPr>
                <w:rFonts w:ascii="Arial" w:eastAsia="Calibri" w:hAnsi="Arial" w:cs="Arial"/>
                <w:color w:val="000000" w:themeColor="text1"/>
                <w:szCs w:val="20"/>
                <w:lang w:val="en-GB"/>
              </w:rPr>
              <w:t>7 dB</w:t>
            </w:r>
          </w:p>
        </w:tc>
      </w:tr>
      <w:tr w:rsidR="00B97AEE" w:rsidTr="002245CF">
        <w:tc>
          <w:tcPr>
            <w:tcW w:w="3118" w:type="dxa"/>
          </w:tcPr>
          <w:p w:rsidR="00B97AEE" w:rsidRPr="0099251A" w:rsidRDefault="00B97AEE" w:rsidP="002245CF">
            <w:pPr>
              <w:spacing w:before="60" w:after="60"/>
              <w:rPr>
                <w:rFonts w:ascii="Arial" w:eastAsia="Calibri" w:hAnsi="Arial" w:cs="Arial"/>
                <w:color w:val="000000" w:themeColor="text1"/>
                <w:szCs w:val="20"/>
                <w:lang w:val="en-GB"/>
              </w:rPr>
            </w:pPr>
            <w:r w:rsidRPr="0099251A">
              <w:rPr>
                <w:rFonts w:ascii="Arial" w:eastAsia="Calibri" w:hAnsi="Arial" w:cs="Arial"/>
                <w:color w:val="000000" w:themeColor="text1"/>
                <w:szCs w:val="20"/>
                <w:lang w:val="en-GB"/>
              </w:rPr>
              <w:t>CE mode B, -</w:t>
            </w:r>
            <w:r w:rsidRPr="0099251A">
              <w:rPr>
                <w:rFonts w:ascii="Arial" w:hAnsi="Arial" w:cs="Arial"/>
              </w:rPr>
              <w:t>15≤Ês/</w:t>
            </w:r>
            <w:proofErr w:type="spellStart"/>
            <w:r w:rsidRPr="0099251A">
              <w:rPr>
                <w:rFonts w:ascii="Arial" w:hAnsi="Arial" w:cs="Arial"/>
              </w:rPr>
              <w:t>Iot</w:t>
            </w:r>
            <w:proofErr w:type="spellEnd"/>
            <w:r w:rsidRPr="0099251A">
              <w:rPr>
                <w:rFonts w:ascii="Arial" w:hAnsi="Arial" w:cs="Arial"/>
              </w:rPr>
              <w:t>≤-12 dB</w:t>
            </w:r>
          </w:p>
        </w:tc>
        <w:tc>
          <w:tcPr>
            <w:tcW w:w="4111" w:type="dxa"/>
          </w:tcPr>
          <w:p w:rsidR="00B97AEE" w:rsidRPr="0099251A" w:rsidRDefault="00B97AEE" w:rsidP="002245CF">
            <w:pPr>
              <w:spacing w:before="60" w:after="60"/>
              <w:jc w:val="center"/>
              <w:rPr>
                <w:rFonts w:ascii="Arial" w:eastAsia="Calibri" w:hAnsi="Arial" w:cs="Arial"/>
                <w:color w:val="000000" w:themeColor="text1"/>
                <w:szCs w:val="20"/>
                <w:lang w:val="en-GB"/>
              </w:rPr>
            </w:pPr>
            <w:r w:rsidRPr="0099251A">
              <w:rPr>
                <w:rFonts w:ascii="Arial" w:hAnsi="Arial" w:cs="Arial"/>
              </w:rPr>
              <w:sym w:font="Symbol" w:char="F0B1"/>
            </w:r>
            <w:r w:rsidRPr="0099251A">
              <w:rPr>
                <w:rFonts w:ascii="Arial" w:hAnsi="Arial" w:cs="Arial"/>
              </w:rPr>
              <w:t>8</w:t>
            </w:r>
            <w:r w:rsidRPr="0099251A">
              <w:rPr>
                <w:rFonts w:ascii="Arial" w:eastAsia="Calibri" w:hAnsi="Arial" w:cs="Arial"/>
                <w:color w:val="000000" w:themeColor="text1"/>
                <w:szCs w:val="20"/>
                <w:lang w:val="en-GB"/>
              </w:rPr>
              <w:t xml:space="preserve"> dB</w:t>
            </w:r>
          </w:p>
        </w:tc>
      </w:tr>
    </w:tbl>
    <w:p w:rsidR="00A30BBF" w:rsidRDefault="00953E6A" w:rsidP="00B97AEE">
      <w:pPr>
        <w:spacing w:before="240" w:after="60"/>
        <w:rPr>
          <w:rFonts w:cs="Times New Roman"/>
          <w:bCs/>
          <w:color w:val="000000" w:themeColor="text1"/>
          <w:szCs w:val="20"/>
        </w:rPr>
      </w:pPr>
      <w:bookmarkStart w:id="4" w:name="_Hlk4758103"/>
      <w:r>
        <w:rPr>
          <w:rFonts w:cs="Times New Roman"/>
          <w:bCs/>
          <w:color w:val="000000" w:themeColor="text1"/>
          <w:szCs w:val="20"/>
        </w:rPr>
        <w:t>It is noted that t</w:t>
      </w:r>
      <w:r w:rsidR="00B97AEE" w:rsidRPr="00B97AEE">
        <w:rPr>
          <w:rFonts w:cs="Times New Roman"/>
          <w:bCs/>
          <w:color w:val="000000" w:themeColor="text1"/>
          <w:szCs w:val="20"/>
        </w:rPr>
        <w:t xml:space="preserve">he figures in Table 1 </w:t>
      </w:r>
      <w:r w:rsidR="00B97AEE">
        <w:rPr>
          <w:rFonts w:cs="Times New Roman"/>
          <w:bCs/>
          <w:color w:val="000000" w:themeColor="text1"/>
          <w:szCs w:val="20"/>
        </w:rPr>
        <w:t xml:space="preserve">refer to </w:t>
      </w:r>
      <w:r w:rsidR="00B97AEE" w:rsidRPr="00B97AEE">
        <w:rPr>
          <w:rFonts w:cs="Times New Roman"/>
          <w:bCs/>
          <w:color w:val="000000" w:themeColor="text1"/>
          <w:szCs w:val="20"/>
        </w:rPr>
        <w:t>normal condition</w:t>
      </w:r>
      <w:r w:rsidR="00B97AEE">
        <w:rPr>
          <w:rFonts w:cs="Times New Roman"/>
          <w:bCs/>
          <w:color w:val="000000" w:themeColor="text1"/>
          <w:szCs w:val="20"/>
        </w:rPr>
        <w:t>.</w:t>
      </w:r>
      <w:r w:rsidR="00333F18">
        <w:rPr>
          <w:rFonts w:cs="Times New Roman"/>
          <w:bCs/>
          <w:color w:val="000000" w:themeColor="text1"/>
          <w:szCs w:val="20"/>
        </w:rPr>
        <w:t xml:space="preserve"> For higher interference</w:t>
      </w:r>
      <w:r w:rsidR="007C1AAC">
        <w:rPr>
          <w:rFonts w:cs="Times New Roman"/>
          <w:bCs/>
          <w:color w:val="000000" w:themeColor="text1"/>
          <w:szCs w:val="20"/>
        </w:rPr>
        <w:t>,</w:t>
      </w:r>
      <w:r w:rsidR="00333F18">
        <w:rPr>
          <w:rFonts w:cs="Times New Roman"/>
          <w:bCs/>
          <w:color w:val="000000" w:themeColor="text1"/>
          <w:szCs w:val="20"/>
        </w:rPr>
        <w:t xml:space="preserve"> </w:t>
      </w:r>
      <w:r w:rsidR="00C416B1">
        <w:rPr>
          <w:rFonts w:cs="Times New Roman"/>
          <w:bCs/>
          <w:color w:val="000000" w:themeColor="text1"/>
          <w:szCs w:val="20"/>
        </w:rPr>
        <w:t xml:space="preserve">accuracy requirement is relaxed </w:t>
      </w:r>
      <w:r w:rsidR="00333F18">
        <w:rPr>
          <w:rFonts w:cs="Times New Roman"/>
          <w:bCs/>
          <w:color w:val="000000" w:themeColor="text1"/>
          <w:szCs w:val="20"/>
        </w:rPr>
        <w:t xml:space="preserve">to 9 dB </w:t>
      </w:r>
      <w:r w:rsidR="007C1AAC">
        <w:rPr>
          <w:rFonts w:cs="Times New Roman"/>
          <w:bCs/>
          <w:color w:val="000000" w:themeColor="text1"/>
          <w:szCs w:val="20"/>
        </w:rPr>
        <w:t>rather than 7 dB and 10 dB rather than 8 dB.</w:t>
      </w:r>
    </w:p>
    <w:p w:rsidR="007C1AAC" w:rsidRDefault="007C1AAC" w:rsidP="003A4103">
      <w:pPr>
        <w:spacing w:after="0"/>
        <w:rPr>
          <w:rFonts w:cs="Times New Roman"/>
          <w:bCs/>
          <w:color w:val="000000" w:themeColor="text1"/>
          <w:szCs w:val="20"/>
        </w:rPr>
      </w:pPr>
    </w:p>
    <w:p w:rsidR="007C1AAC" w:rsidRDefault="007C1AAC" w:rsidP="007C1AAC">
      <w:pPr>
        <w:pStyle w:val="RAN4H3"/>
        <w:rPr>
          <w:lang w:val="en-GB"/>
        </w:rPr>
      </w:pPr>
      <w:r>
        <w:rPr>
          <w:lang w:val="en-GB"/>
        </w:rPr>
        <w:t xml:space="preserve">Comparison to path loss </w:t>
      </w:r>
    </w:p>
    <w:p w:rsidR="007C1AAC" w:rsidRPr="00B97AEE" w:rsidRDefault="003A4103" w:rsidP="00B97AEE">
      <w:pPr>
        <w:spacing w:before="240" w:after="60"/>
        <w:rPr>
          <w:rFonts w:cs="Times New Roman"/>
          <w:bCs/>
          <w:color w:val="000000" w:themeColor="text1"/>
          <w:szCs w:val="20"/>
        </w:rPr>
      </w:pPr>
      <w:r>
        <w:rPr>
          <w:rFonts w:cs="Times New Roman"/>
          <w:bCs/>
          <w:color w:val="000000" w:themeColor="text1"/>
          <w:szCs w:val="20"/>
        </w:rPr>
        <w:t xml:space="preserve">Compared to path loss for free space propagation (K=2.0), an inaccuracy of 6 to 10 dB is equal to the range of doubling to tripling the distance, or the inverse. Compared to path loss in urban area (K=3.8), an inaccuracy of 6 to 10 dB is equal to multiplying the distance with a factor of 1.4 to 1.8, or the inverse.  </w:t>
      </w:r>
    </w:p>
    <w:bookmarkEnd w:id="4"/>
    <w:p w:rsidR="00463EF7" w:rsidRDefault="00E42AA2" w:rsidP="008772EC">
      <w:r>
        <w:t>With this inaccuracy, the serving cell RSRP change attribute cannot be considered as reliable, if used as single attribute.</w:t>
      </w:r>
    </w:p>
    <w:p w:rsidR="00463EF7" w:rsidRDefault="00463EF7" w:rsidP="008772EC"/>
    <w:p w:rsidR="008772EC" w:rsidRDefault="00E42AA2" w:rsidP="008772EC">
      <w:r>
        <w:t xml:space="preserve"> </w:t>
      </w:r>
    </w:p>
    <w:p w:rsidR="00E42AA2" w:rsidRDefault="00E42AA2" w:rsidP="00E42AA2">
      <w:pPr>
        <w:pStyle w:val="RAN4H3"/>
        <w:rPr>
          <w:lang w:val="en-GB"/>
        </w:rPr>
      </w:pPr>
      <w:r>
        <w:rPr>
          <w:lang w:val="en-GB"/>
        </w:rPr>
        <w:lastRenderedPageBreak/>
        <w:t xml:space="preserve">Proposal </w:t>
      </w:r>
    </w:p>
    <w:p w:rsidR="00E42AA2" w:rsidRPr="00E42AA2" w:rsidRDefault="00E42AA2" w:rsidP="00E42AA2">
      <w:pPr>
        <w:spacing w:before="240"/>
        <w:rPr>
          <w:rFonts w:eastAsia="Calibri" w:cs="Times New Roman"/>
          <w:color w:val="000000" w:themeColor="text1"/>
          <w:szCs w:val="20"/>
          <w:lang w:val="en-GB"/>
        </w:rPr>
      </w:pPr>
      <w:r>
        <w:t xml:space="preserve">Therefore, the serving cell RSRP change attribute should not be configurable as a single attribute, but only configurable in combination with a TA related attribute, as considered in option 1 in the WF [1] which considers the combination </w:t>
      </w:r>
      <w:r w:rsidRPr="008C2BEA">
        <w:t>with TA change or DL/UL timing change</w:t>
      </w:r>
      <w:r>
        <w:t xml:space="preserve">. </w:t>
      </w:r>
      <w:r w:rsidR="00463EF7">
        <w:rPr>
          <w:rFonts w:eastAsia="Calibri" w:cs="Times New Roman"/>
          <w:color w:val="000000" w:themeColor="text1"/>
          <w:szCs w:val="20"/>
          <w:lang w:val="en-GB"/>
        </w:rPr>
        <w:t xml:space="preserve">The </w:t>
      </w:r>
      <w:r>
        <w:rPr>
          <w:rFonts w:eastAsia="Calibri" w:cs="Times New Roman"/>
          <w:color w:val="000000" w:themeColor="text1"/>
          <w:szCs w:val="20"/>
          <w:lang w:val="en-GB"/>
        </w:rPr>
        <w:t>following proposal is made:</w:t>
      </w:r>
    </w:p>
    <w:p w:rsidR="001B5CBD" w:rsidRPr="00C55CF3" w:rsidRDefault="00E42AA2" w:rsidP="006F03AB">
      <w:pPr>
        <w:rPr>
          <w:b/>
        </w:rPr>
      </w:pPr>
      <w:r w:rsidRPr="00E42AA2">
        <w:rPr>
          <w:b/>
        </w:rPr>
        <w:t xml:space="preserve">Proposal: The serving cell RSRP change attribute should not be configurable as a single </w:t>
      </w:r>
      <w:r w:rsidR="00C55CF3">
        <w:rPr>
          <w:b/>
          <w:lang w:val="en-GB"/>
        </w:rPr>
        <w:t xml:space="preserve">TA validation </w:t>
      </w:r>
      <w:r w:rsidRPr="00E42AA2">
        <w:rPr>
          <w:b/>
        </w:rPr>
        <w:t>attribute, but only configurable in combination with TA change or DL/UL timing change.</w:t>
      </w:r>
    </w:p>
    <w:p w:rsidR="00CD7492" w:rsidRPr="0095295C" w:rsidRDefault="00CD7492" w:rsidP="00A37002">
      <w:pPr>
        <w:pStyle w:val="RAN4H1"/>
      </w:pPr>
      <w:r w:rsidRPr="00A37002">
        <w:t>Conclusion</w:t>
      </w:r>
    </w:p>
    <w:p w:rsidR="00E42AA2" w:rsidRPr="00E42AA2" w:rsidRDefault="00E42AA2" w:rsidP="00E42AA2">
      <w:pPr>
        <w:rPr>
          <w:lang w:val="en-GB"/>
        </w:rPr>
      </w:pPr>
      <w:r w:rsidRPr="00E42AA2">
        <w:rPr>
          <w:lang w:val="en-GB"/>
        </w:rPr>
        <w:t>This contribution has dealt with the issue if the serving cell RSRP change attribute can serve as an independent attribute. Based on the above investigation the following proposal is made, which supports option 1 of the WF [1]:</w:t>
      </w:r>
    </w:p>
    <w:p w:rsidR="00E42AA2" w:rsidRPr="00E42AA2" w:rsidRDefault="00E42AA2" w:rsidP="00E42AA2">
      <w:pPr>
        <w:rPr>
          <w:b/>
          <w:lang w:val="en-GB"/>
        </w:rPr>
      </w:pPr>
      <w:r w:rsidRPr="00E42AA2">
        <w:rPr>
          <w:b/>
          <w:lang w:val="en-GB"/>
        </w:rPr>
        <w:t xml:space="preserve">Proposal: The serving cell RSRP change attribute should not be configurable as a single </w:t>
      </w:r>
      <w:r w:rsidR="00C55CF3">
        <w:rPr>
          <w:b/>
          <w:lang w:val="en-GB"/>
        </w:rPr>
        <w:t xml:space="preserve">TA validation </w:t>
      </w:r>
      <w:r w:rsidRPr="00E42AA2">
        <w:rPr>
          <w:b/>
          <w:lang w:val="en-GB"/>
        </w:rPr>
        <w:t>attribute, but only configurable in combination with TA change or DL/UL timing change.</w:t>
      </w:r>
    </w:p>
    <w:p w:rsidR="003B659E" w:rsidRPr="0095295C" w:rsidRDefault="003B659E" w:rsidP="0008612A">
      <w:pPr>
        <w:pStyle w:val="RAN4H1"/>
      </w:pPr>
      <w:r w:rsidRPr="0095295C">
        <w:t>References</w:t>
      </w:r>
    </w:p>
    <w:p w:rsidR="00C55CF3" w:rsidRPr="00C55CF3" w:rsidRDefault="007F5821" w:rsidP="003E2D8A">
      <w:pPr>
        <w:numPr>
          <w:ilvl w:val="0"/>
          <w:numId w:val="1"/>
        </w:num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bookmarkStart w:id="5" w:name="_Ref431017336"/>
      <w:r w:rsidRPr="00C55CF3">
        <w:rPr>
          <w:rFonts w:eastAsia="Times New Roman" w:cs="Times New Roman"/>
          <w:szCs w:val="20"/>
          <w:lang w:val="en-GB"/>
        </w:rPr>
        <w:t>R4-190</w:t>
      </w:r>
      <w:r w:rsidR="0020370A" w:rsidRPr="00C55CF3">
        <w:rPr>
          <w:rFonts w:eastAsia="Times New Roman" w:cs="Times New Roman"/>
          <w:szCs w:val="20"/>
          <w:lang w:val="en-GB"/>
        </w:rPr>
        <w:t>480</w:t>
      </w:r>
      <w:r w:rsidR="00E42AA2" w:rsidRPr="00C55CF3">
        <w:rPr>
          <w:rFonts w:eastAsia="Times New Roman" w:cs="Times New Roman"/>
          <w:szCs w:val="20"/>
          <w:lang w:val="en-GB"/>
        </w:rPr>
        <w:t>6</w:t>
      </w:r>
      <w:r w:rsidR="00F231E7" w:rsidRPr="00C55CF3">
        <w:rPr>
          <w:rFonts w:eastAsia="Times New Roman" w:cs="Times New Roman"/>
          <w:szCs w:val="20"/>
          <w:lang w:val="en-GB"/>
        </w:rPr>
        <w:t xml:space="preserve">, </w:t>
      </w:r>
      <w:r w:rsidR="00E42AA2" w:rsidRPr="00C55CF3">
        <w:rPr>
          <w:rFonts w:eastAsia="Times New Roman" w:cs="Times New Roman"/>
          <w:szCs w:val="20"/>
          <w:lang w:val="en-GB"/>
        </w:rPr>
        <w:t>Way forward on Rel-16 MTC RRM enhancement</w:t>
      </w:r>
      <w:r w:rsidR="00F231E7" w:rsidRPr="00F231E7">
        <w:t>,</w:t>
      </w:r>
      <w:r>
        <w:t xml:space="preserve"> </w:t>
      </w:r>
      <w:r w:rsidR="003317B1">
        <w:t xml:space="preserve">source: </w:t>
      </w:r>
      <w:bookmarkEnd w:id="5"/>
      <w:r w:rsidR="00C55CF3" w:rsidRPr="00C55CF3">
        <w:t>Ericsson, Qualcomm Incorporated, Huawei, Nokia, Nokia Shanghai Bell</w:t>
      </w:r>
    </w:p>
    <w:p w:rsidR="0020370A" w:rsidRPr="00C55CF3" w:rsidRDefault="00E42AA2" w:rsidP="003E2D8A">
      <w:pPr>
        <w:numPr>
          <w:ilvl w:val="0"/>
          <w:numId w:val="1"/>
        </w:num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C55CF3">
        <w:rPr>
          <w:rFonts w:eastAsia="Times New Roman" w:cs="Times New Roman"/>
          <w:szCs w:val="20"/>
          <w:lang w:val="en-GB"/>
        </w:rPr>
        <w:t>R1-1813778</w:t>
      </w:r>
      <w:r w:rsidR="0020370A" w:rsidRPr="00C55CF3">
        <w:rPr>
          <w:rFonts w:eastAsia="Times New Roman" w:cs="Times New Roman"/>
          <w:szCs w:val="20"/>
          <w:lang w:val="en-GB"/>
        </w:rPr>
        <w:t xml:space="preserve">, </w:t>
      </w:r>
      <w:r w:rsidRPr="00C55CF3">
        <w:rPr>
          <w:rFonts w:eastAsia="Times New Roman" w:cs="Times New Roman"/>
          <w:szCs w:val="20"/>
          <w:lang w:val="en-GB"/>
        </w:rPr>
        <w:t>LS on preconfigured uplink resources in NB-IoT and MTC</w:t>
      </w:r>
      <w:r w:rsidR="0020370A" w:rsidRPr="00C55CF3">
        <w:rPr>
          <w:rFonts w:eastAsia="Times New Roman" w:cs="Times New Roman"/>
          <w:szCs w:val="20"/>
          <w:lang w:val="en-GB"/>
        </w:rPr>
        <w:t xml:space="preserve">, source: </w:t>
      </w:r>
      <w:r w:rsidRPr="00C55CF3">
        <w:rPr>
          <w:rFonts w:eastAsia="Times New Roman" w:cs="Times New Roman"/>
          <w:szCs w:val="20"/>
          <w:lang w:val="en-GB"/>
        </w:rPr>
        <w:t>RAN</w:t>
      </w:r>
      <w:r w:rsidR="00C55CF3" w:rsidRPr="00C55CF3">
        <w:rPr>
          <w:rFonts w:eastAsia="Times New Roman" w:cs="Times New Roman"/>
          <w:szCs w:val="20"/>
          <w:lang w:val="en-GB"/>
        </w:rPr>
        <w:t xml:space="preserve"> WG</w:t>
      </w:r>
      <w:r w:rsidRPr="00C55CF3">
        <w:rPr>
          <w:rFonts w:eastAsia="Times New Roman" w:cs="Times New Roman"/>
          <w:szCs w:val="20"/>
          <w:lang w:val="en-GB"/>
        </w:rPr>
        <w:t>1</w:t>
      </w:r>
    </w:p>
    <w:sectPr w:rsidR="0020370A" w:rsidRPr="00C55CF3"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0578" w:rsidRDefault="00EA0578" w:rsidP="00001C9B">
      <w:pPr>
        <w:spacing w:after="0" w:line="240" w:lineRule="auto"/>
      </w:pPr>
      <w:r>
        <w:separator/>
      </w:r>
    </w:p>
  </w:endnote>
  <w:endnote w:type="continuationSeparator" w:id="0">
    <w:p w:rsidR="00EA0578" w:rsidRDefault="00EA057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rsidR="00483479" w:rsidRDefault="0048347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483479" w:rsidRDefault="004834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0578" w:rsidRDefault="00EA0578" w:rsidP="00001C9B">
      <w:pPr>
        <w:spacing w:after="0" w:line="240" w:lineRule="auto"/>
      </w:pPr>
      <w:r>
        <w:separator/>
      </w:r>
    </w:p>
  </w:footnote>
  <w:footnote w:type="continuationSeparator" w:id="0">
    <w:p w:rsidR="00EA0578" w:rsidRDefault="00EA057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2911" w:hanging="360"/>
      </w:pPr>
      <w:rPr>
        <w:rFonts w:hint="default"/>
      </w:rPr>
    </w:lvl>
    <w:lvl w:ilvl="1" w:tplc="04090019" w:tentative="1">
      <w:start w:val="1"/>
      <w:numFmt w:val="lowerLetter"/>
      <w:lvlText w:val="%2."/>
      <w:lvlJc w:val="left"/>
      <w:pPr>
        <w:ind w:left="3631" w:hanging="360"/>
      </w:pPr>
    </w:lvl>
    <w:lvl w:ilvl="2" w:tplc="0409001B" w:tentative="1">
      <w:start w:val="1"/>
      <w:numFmt w:val="lowerRoman"/>
      <w:lvlText w:val="%3."/>
      <w:lvlJc w:val="right"/>
      <w:pPr>
        <w:ind w:left="4351" w:hanging="180"/>
      </w:pPr>
    </w:lvl>
    <w:lvl w:ilvl="3" w:tplc="0409000F" w:tentative="1">
      <w:start w:val="1"/>
      <w:numFmt w:val="decimal"/>
      <w:lvlText w:val="%4."/>
      <w:lvlJc w:val="left"/>
      <w:pPr>
        <w:ind w:left="5071" w:hanging="360"/>
      </w:pPr>
    </w:lvl>
    <w:lvl w:ilvl="4" w:tplc="04090019" w:tentative="1">
      <w:start w:val="1"/>
      <w:numFmt w:val="lowerLetter"/>
      <w:lvlText w:val="%5."/>
      <w:lvlJc w:val="left"/>
      <w:pPr>
        <w:ind w:left="5791" w:hanging="360"/>
      </w:pPr>
    </w:lvl>
    <w:lvl w:ilvl="5" w:tplc="0409001B" w:tentative="1">
      <w:start w:val="1"/>
      <w:numFmt w:val="lowerRoman"/>
      <w:lvlText w:val="%6."/>
      <w:lvlJc w:val="right"/>
      <w:pPr>
        <w:ind w:left="6511" w:hanging="180"/>
      </w:pPr>
    </w:lvl>
    <w:lvl w:ilvl="6" w:tplc="0409000F" w:tentative="1">
      <w:start w:val="1"/>
      <w:numFmt w:val="decimal"/>
      <w:lvlText w:val="%7."/>
      <w:lvlJc w:val="left"/>
      <w:pPr>
        <w:ind w:left="7231" w:hanging="360"/>
      </w:pPr>
    </w:lvl>
    <w:lvl w:ilvl="7" w:tplc="04090019" w:tentative="1">
      <w:start w:val="1"/>
      <w:numFmt w:val="lowerLetter"/>
      <w:lvlText w:val="%8."/>
      <w:lvlJc w:val="left"/>
      <w:pPr>
        <w:ind w:left="7951" w:hanging="360"/>
      </w:pPr>
    </w:lvl>
    <w:lvl w:ilvl="8" w:tplc="0409001B" w:tentative="1">
      <w:start w:val="1"/>
      <w:numFmt w:val="lowerRoman"/>
      <w:lvlText w:val="%9."/>
      <w:lvlJc w:val="right"/>
      <w:pPr>
        <w:ind w:left="8671" w:hanging="180"/>
      </w:pPr>
    </w:lvl>
  </w:abstractNum>
  <w:abstractNum w:abstractNumId="1" w15:restartNumberingAfterBreak="0">
    <w:nsid w:val="128708C1"/>
    <w:multiLevelType w:val="hybridMultilevel"/>
    <w:tmpl w:val="F21E0162"/>
    <w:lvl w:ilvl="0" w:tplc="48BA78A2">
      <w:start w:val="1"/>
      <w:numFmt w:val="bullet"/>
      <w:lvlText w:val="•"/>
      <w:lvlJc w:val="left"/>
      <w:pPr>
        <w:tabs>
          <w:tab w:val="num" w:pos="720"/>
        </w:tabs>
        <w:ind w:left="720" w:hanging="360"/>
      </w:pPr>
      <w:rPr>
        <w:rFonts w:ascii="Arial" w:hAnsi="Arial" w:hint="default"/>
      </w:rPr>
    </w:lvl>
    <w:lvl w:ilvl="1" w:tplc="51DE3A48">
      <w:start w:val="47"/>
      <w:numFmt w:val="bullet"/>
      <w:lvlText w:val="–"/>
      <w:lvlJc w:val="left"/>
      <w:pPr>
        <w:tabs>
          <w:tab w:val="num" w:pos="1440"/>
        </w:tabs>
        <w:ind w:left="1440" w:hanging="360"/>
      </w:pPr>
      <w:rPr>
        <w:rFonts w:ascii="Arial" w:hAnsi="Arial" w:hint="default"/>
      </w:rPr>
    </w:lvl>
    <w:lvl w:ilvl="2" w:tplc="37588696">
      <w:start w:val="47"/>
      <w:numFmt w:val="bullet"/>
      <w:lvlText w:val="•"/>
      <w:lvlJc w:val="left"/>
      <w:pPr>
        <w:tabs>
          <w:tab w:val="num" w:pos="2160"/>
        </w:tabs>
        <w:ind w:left="2160" w:hanging="360"/>
      </w:pPr>
      <w:rPr>
        <w:rFonts w:ascii="Arial" w:hAnsi="Arial" w:hint="default"/>
      </w:rPr>
    </w:lvl>
    <w:lvl w:ilvl="3" w:tplc="95C2B79E" w:tentative="1">
      <w:start w:val="1"/>
      <w:numFmt w:val="bullet"/>
      <w:lvlText w:val="•"/>
      <w:lvlJc w:val="left"/>
      <w:pPr>
        <w:tabs>
          <w:tab w:val="num" w:pos="2880"/>
        </w:tabs>
        <w:ind w:left="2880" w:hanging="360"/>
      </w:pPr>
      <w:rPr>
        <w:rFonts w:ascii="Arial" w:hAnsi="Arial" w:hint="default"/>
      </w:rPr>
    </w:lvl>
    <w:lvl w:ilvl="4" w:tplc="D9925F5E" w:tentative="1">
      <w:start w:val="1"/>
      <w:numFmt w:val="bullet"/>
      <w:lvlText w:val="•"/>
      <w:lvlJc w:val="left"/>
      <w:pPr>
        <w:tabs>
          <w:tab w:val="num" w:pos="3600"/>
        </w:tabs>
        <w:ind w:left="3600" w:hanging="360"/>
      </w:pPr>
      <w:rPr>
        <w:rFonts w:ascii="Arial" w:hAnsi="Arial" w:hint="default"/>
      </w:rPr>
    </w:lvl>
    <w:lvl w:ilvl="5" w:tplc="28BE4BD2" w:tentative="1">
      <w:start w:val="1"/>
      <w:numFmt w:val="bullet"/>
      <w:lvlText w:val="•"/>
      <w:lvlJc w:val="left"/>
      <w:pPr>
        <w:tabs>
          <w:tab w:val="num" w:pos="4320"/>
        </w:tabs>
        <w:ind w:left="4320" w:hanging="360"/>
      </w:pPr>
      <w:rPr>
        <w:rFonts w:ascii="Arial" w:hAnsi="Arial" w:hint="default"/>
      </w:rPr>
    </w:lvl>
    <w:lvl w:ilvl="6" w:tplc="09D82164" w:tentative="1">
      <w:start w:val="1"/>
      <w:numFmt w:val="bullet"/>
      <w:lvlText w:val="•"/>
      <w:lvlJc w:val="left"/>
      <w:pPr>
        <w:tabs>
          <w:tab w:val="num" w:pos="5040"/>
        </w:tabs>
        <w:ind w:left="5040" w:hanging="360"/>
      </w:pPr>
      <w:rPr>
        <w:rFonts w:ascii="Arial" w:hAnsi="Arial" w:hint="default"/>
      </w:rPr>
    </w:lvl>
    <w:lvl w:ilvl="7" w:tplc="3CA4EB44" w:tentative="1">
      <w:start w:val="1"/>
      <w:numFmt w:val="bullet"/>
      <w:lvlText w:val="•"/>
      <w:lvlJc w:val="left"/>
      <w:pPr>
        <w:tabs>
          <w:tab w:val="num" w:pos="5760"/>
        </w:tabs>
        <w:ind w:left="5760" w:hanging="360"/>
      </w:pPr>
      <w:rPr>
        <w:rFonts w:ascii="Arial" w:hAnsi="Arial" w:hint="default"/>
      </w:rPr>
    </w:lvl>
    <w:lvl w:ilvl="8" w:tplc="14C88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705D24"/>
    <w:multiLevelType w:val="hybridMultilevel"/>
    <w:tmpl w:val="1026BFB4"/>
    <w:lvl w:ilvl="0" w:tplc="04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43861DC5"/>
    <w:multiLevelType w:val="hybridMultilevel"/>
    <w:tmpl w:val="AA16BDAC"/>
    <w:lvl w:ilvl="0" w:tplc="2FCAC58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905" w:hanging="360"/>
      </w:pPr>
      <w:rPr>
        <w:rFonts w:ascii="Times New Roman" w:hAnsi="Times New Roman" w:hint="default"/>
        <w:b/>
        <w:i w:val="0"/>
        <w:color w:val="auto"/>
        <w:sz w:val="20"/>
      </w:rPr>
    </w:lvl>
    <w:lvl w:ilvl="1" w:tplc="04090019" w:tentative="1">
      <w:start w:val="1"/>
      <w:numFmt w:val="lowerLetter"/>
      <w:lvlText w:val="%2."/>
      <w:lvlJc w:val="left"/>
      <w:pPr>
        <w:ind w:left="4625" w:hanging="360"/>
      </w:pPr>
    </w:lvl>
    <w:lvl w:ilvl="2" w:tplc="0409001B" w:tentative="1">
      <w:start w:val="1"/>
      <w:numFmt w:val="lowerRoman"/>
      <w:lvlText w:val="%3."/>
      <w:lvlJc w:val="right"/>
      <w:pPr>
        <w:ind w:left="5345" w:hanging="180"/>
      </w:pPr>
    </w:lvl>
    <w:lvl w:ilvl="3" w:tplc="0409000F" w:tentative="1">
      <w:start w:val="1"/>
      <w:numFmt w:val="decimal"/>
      <w:lvlText w:val="%4."/>
      <w:lvlJc w:val="left"/>
      <w:pPr>
        <w:ind w:left="6065" w:hanging="360"/>
      </w:pPr>
    </w:lvl>
    <w:lvl w:ilvl="4" w:tplc="04090019" w:tentative="1">
      <w:start w:val="1"/>
      <w:numFmt w:val="lowerLetter"/>
      <w:lvlText w:val="%5."/>
      <w:lvlJc w:val="left"/>
      <w:pPr>
        <w:ind w:left="6785" w:hanging="360"/>
      </w:pPr>
    </w:lvl>
    <w:lvl w:ilvl="5" w:tplc="0409001B" w:tentative="1">
      <w:start w:val="1"/>
      <w:numFmt w:val="lowerRoman"/>
      <w:lvlText w:val="%6."/>
      <w:lvlJc w:val="right"/>
      <w:pPr>
        <w:ind w:left="7505" w:hanging="180"/>
      </w:pPr>
    </w:lvl>
    <w:lvl w:ilvl="6" w:tplc="0409000F" w:tentative="1">
      <w:start w:val="1"/>
      <w:numFmt w:val="decimal"/>
      <w:lvlText w:val="%7."/>
      <w:lvlJc w:val="left"/>
      <w:pPr>
        <w:ind w:left="8225" w:hanging="360"/>
      </w:pPr>
    </w:lvl>
    <w:lvl w:ilvl="7" w:tplc="04090019" w:tentative="1">
      <w:start w:val="1"/>
      <w:numFmt w:val="lowerLetter"/>
      <w:lvlText w:val="%8."/>
      <w:lvlJc w:val="left"/>
      <w:pPr>
        <w:ind w:left="8945" w:hanging="360"/>
      </w:pPr>
    </w:lvl>
    <w:lvl w:ilvl="8" w:tplc="0409001B" w:tentative="1">
      <w:start w:val="1"/>
      <w:numFmt w:val="lowerRoman"/>
      <w:lvlText w:val="%9."/>
      <w:lvlJc w:val="right"/>
      <w:pPr>
        <w:ind w:left="9665" w:hanging="180"/>
      </w:pPr>
    </w:lvl>
  </w:abstractNum>
  <w:abstractNum w:abstractNumId="10" w15:restartNumberingAfterBreak="0">
    <w:nsid w:val="4D6E3167"/>
    <w:multiLevelType w:val="hybridMultilevel"/>
    <w:tmpl w:val="BF70C9CC"/>
    <w:lvl w:ilvl="0" w:tplc="84A06464">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5E2ED3"/>
    <w:multiLevelType w:val="hybridMultilevel"/>
    <w:tmpl w:val="97143DBE"/>
    <w:lvl w:ilvl="0" w:tplc="893C262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2"/>
  </w:num>
  <w:num w:numId="4">
    <w:abstractNumId w:val="4"/>
  </w:num>
  <w:num w:numId="5">
    <w:abstractNumId w:val="16"/>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7"/>
  </w:num>
  <w:num w:numId="16">
    <w:abstractNumId w:val="3"/>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0"/>
    <w:lvlOverride w:ilvl="0">
      <w:startOverride w:val="1"/>
    </w:lvlOverride>
  </w:num>
  <w:num w:numId="22">
    <w:abstractNumId w:val="10"/>
    <w:lvlOverride w:ilvl="0">
      <w:startOverride w:val="1"/>
    </w:lvlOverride>
  </w:num>
  <w:num w:numId="23">
    <w:abstractNumId w:val="7"/>
  </w:num>
  <w:num w:numId="24">
    <w:abstractNumId w:val="1"/>
  </w:num>
  <w:num w:numId="25">
    <w:abstractNumId w:val="13"/>
  </w:num>
  <w:num w:numId="26">
    <w:abstractNumId w:val="14"/>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B10"/>
    <w:rsid w:val="00001C9B"/>
    <w:rsid w:val="00062CF3"/>
    <w:rsid w:val="0006735C"/>
    <w:rsid w:val="0008612A"/>
    <w:rsid w:val="000B0056"/>
    <w:rsid w:val="000D5F50"/>
    <w:rsid w:val="00107D30"/>
    <w:rsid w:val="001206BA"/>
    <w:rsid w:val="00161971"/>
    <w:rsid w:val="001745F8"/>
    <w:rsid w:val="00176671"/>
    <w:rsid w:val="001838CF"/>
    <w:rsid w:val="001922CD"/>
    <w:rsid w:val="001B20AF"/>
    <w:rsid w:val="001B5CBD"/>
    <w:rsid w:val="001C2F6D"/>
    <w:rsid w:val="001E30F6"/>
    <w:rsid w:val="0020370A"/>
    <w:rsid w:val="00235F5C"/>
    <w:rsid w:val="002478F7"/>
    <w:rsid w:val="00287290"/>
    <w:rsid w:val="00292B0A"/>
    <w:rsid w:val="00292B38"/>
    <w:rsid w:val="002B4922"/>
    <w:rsid w:val="002C2D19"/>
    <w:rsid w:val="002C7909"/>
    <w:rsid w:val="002D10FA"/>
    <w:rsid w:val="002D4C55"/>
    <w:rsid w:val="003214FA"/>
    <w:rsid w:val="003234B0"/>
    <w:rsid w:val="003317B1"/>
    <w:rsid w:val="00333F18"/>
    <w:rsid w:val="0034254F"/>
    <w:rsid w:val="00351CB5"/>
    <w:rsid w:val="00380AB5"/>
    <w:rsid w:val="003A4103"/>
    <w:rsid w:val="003B659E"/>
    <w:rsid w:val="003F6D03"/>
    <w:rsid w:val="003F744F"/>
    <w:rsid w:val="00417A6E"/>
    <w:rsid w:val="00417AA0"/>
    <w:rsid w:val="0043750A"/>
    <w:rsid w:val="004572D7"/>
    <w:rsid w:val="00461591"/>
    <w:rsid w:val="00463EF7"/>
    <w:rsid w:val="00480EBB"/>
    <w:rsid w:val="00483479"/>
    <w:rsid w:val="00484BEE"/>
    <w:rsid w:val="00485E97"/>
    <w:rsid w:val="004B463C"/>
    <w:rsid w:val="004B6CDF"/>
    <w:rsid w:val="004B7B4A"/>
    <w:rsid w:val="004D56FF"/>
    <w:rsid w:val="004E006D"/>
    <w:rsid w:val="004E5E66"/>
    <w:rsid w:val="00503B4D"/>
    <w:rsid w:val="00504EE9"/>
    <w:rsid w:val="00517FEE"/>
    <w:rsid w:val="0054442C"/>
    <w:rsid w:val="00550285"/>
    <w:rsid w:val="0057571F"/>
    <w:rsid w:val="005836F8"/>
    <w:rsid w:val="005918FA"/>
    <w:rsid w:val="00596ADF"/>
    <w:rsid w:val="005D4B8B"/>
    <w:rsid w:val="005D4F5B"/>
    <w:rsid w:val="005E61A8"/>
    <w:rsid w:val="005F3044"/>
    <w:rsid w:val="005F6419"/>
    <w:rsid w:val="00617400"/>
    <w:rsid w:val="00663D8A"/>
    <w:rsid w:val="00664950"/>
    <w:rsid w:val="00683220"/>
    <w:rsid w:val="00687FA0"/>
    <w:rsid w:val="006B6CF2"/>
    <w:rsid w:val="006B7010"/>
    <w:rsid w:val="006D5970"/>
    <w:rsid w:val="006D7F7E"/>
    <w:rsid w:val="006F03AB"/>
    <w:rsid w:val="006F28AC"/>
    <w:rsid w:val="006F2DBF"/>
    <w:rsid w:val="007145FF"/>
    <w:rsid w:val="00751515"/>
    <w:rsid w:val="00761376"/>
    <w:rsid w:val="00785232"/>
    <w:rsid w:val="00797D6B"/>
    <w:rsid w:val="007A125F"/>
    <w:rsid w:val="007C1AAC"/>
    <w:rsid w:val="007C3ED0"/>
    <w:rsid w:val="007E1D44"/>
    <w:rsid w:val="007E448E"/>
    <w:rsid w:val="007F5821"/>
    <w:rsid w:val="00803B5F"/>
    <w:rsid w:val="00806A76"/>
    <w:rsid w:val="00807CEE"/>
    <w:rsid w:val="00810A5E"/>
    <w:rsid w:val="00811C9D"/>
    <w:rsid w:val="00816C80"/>
    <w:rsid w:val="00841BCD"/>
    <w:rsid w:val="008564FD"/>
    <w:rsid w:val="008772EC"/>
    <w:rsid w:val="008826C1"/>
    <w:rsid w:val="008B1B9F"/>
    <w:rsid w:val="008C2BEA"/>
    <w:rsid w:val="008C57EE"/>
    <w:rsid w:val="008E78A1"/>
    <w:rsid w:val="00903EA8"/>
    <w:rsid w:val="009042BD"/>
    <w:rsid w:val="0091051F"/>
    <w:rsid w:val="0091651C"/>
    <w:rsid w:val="00932449"/>
    <w:rsid w:val="009475B6"/>
    <w:rsid w:val="00953E6A"/>
    <w:rsid w:val="0095560C"/>
    <w:rsid w:val="00961DC1"/>
    <w:rsid w:val="00964BDF"/>
    <w:rsid w:val="00967205"/>
    <w:rsid w:val="00972B6D"/>
    <w:rsid w:val="00976ABD"/>
    <w:rsid w:val="00977E1D"/>
    <w:rsid w:val="0098494A"/>
    <w:rsid w:val="0099251A"/>
    <w:rsid w:val="00995CDA"/>
    <w:rsid w:val="009D5F06"/>
    <w:rsid w:val="009D6ACA"/>
    <w:rsid w:val="009D7A9C"/>
    <w:rsid w:val="009E5C57"/>
    <w:rsid w:val="00A016CE"/>
    <w:rsid w:val="00A22B78"/>
    <w:rsid w:val="00A25AE5"/>
    <w:rsid w:val="00A30BBF"/>
    <w:rsid w:val="00A31152"/>
    <w:rsid w:val="00A37002"/>
    <w:rsid w:val="00A503E4"/>
    <w:rsid w:val="00A639BE"/>
    <w:rsid w:val="00A74D67"/>
    <w:rsid w:val="00A75534"/>
    <w:rsid w:val="00AA1B0E"/>
    <w:rsid w:val="00AC5CA7"/>
    <w:rsid w:val="00AE56B1"/>
    <w:rsid w:val="00AF1751"/>
    <w:rsid w:val="00B03C53"/>
    <w:rsid w:val="00B20B2E"/>
    <w:rsid w:val="00B20EF3"/>
    <w:rsid w:val="00B50B0C"/>
    <w:rsid w:val="00B73862"/>
    <w:rsid w:val="00B97AEE"/>
    <w:rsid w:val="00BA37D6"/>
    <w:rsid w:val="00BA6E48"/>
    <w:rsid w:val="00BA724E"/>
    <w:rsid w:val="00BB21A8"/>
    <w:rsid w:val="00BF2218"/>
    <w:rsid w:val="00C416B1"/>
    <w:rsid w:val="00C55CF3"/>
    <w:rsid w:val="00CD282F"/>
    <w:rsid w:val="00CD7492"/>
    <w:rsid w:val="00CD7C9C"/>
    <w:rsid w:val="00CE3A6B"/>
    <w:rsid w:val="00CF12D6"/>
    <w:rsid w:val="00D00211"/>
    <w:rsid w:val="00D06309"/>
    <w:rsid w:val="00D351EA"/>
    <w:rsid w:val="00D358A6"/>
    <w:rsid w:val="00D43403"/>
    <w:rsid w:val="00D62E71"/>
    <w:rsid w:val="00D63FCD"/>
    <w:rsid w:val="00D740CA"/>
    <w:rsid w:val="00D85728"/>
    <w:rsid w:val="00DA1BB5"/>
    <w:rsid w:val="00DB32BB"/>
    <w:rsid w:val="00DD555A"/>
    <w:rsid w:val="00DE5A58"/>
    <w:rsid w:val="00DE6F33"/>
    <w:rsid w:val="00DF2997"/>
    <w:rsid w:val="00E30D7E"/>
    <w:rsid w:val="00E3183F"/>
    <w:rsid w:val="00E33E93"/>
    <w:rsid w:val="00E364C8"/>
    <w:rsid w:val="00E42AA2"/>
    <w:rsid w:val="00E71D1A"/>
    <w:rsid w:val="00E73804"/>
    <w:rsid w:val="00E77105"/>
    <w:rsid w:val="00EA0578"/>
    <w:rsid w:val="00EC7BC3"/>
    <w:rsid w:val="00ED45FF"/>
    <w:rsid w:val="00ED7600"/>
    <w:rsid w:val="00EF2A70"/>
    <w:rsid w:val="00EF6453"/>
    <w:rsid w:val="00F04673"/>
    <w:rsid w:val="00F1362C"/>
    <w:rsid w:val="00F231E7"/>
    <w:rsid w:val="00F461AC"/>
    <w:rsid w:val="00F67E4A"/>
    <w:rsid w:val="00F824F5"/>
    <w:rsid w:val="00FC29B9"/>
    <w:rsid w:val="00FC6FD3"/>
    <w:rsid w:val="00FC7100"/>
    <w:rsid w:val="00FF2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A170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1353"/>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iPriority w:val="99"/>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styleId="BodyText">
    <w:name w:val="Body Text"/>
    <w:aliases w:val="bt"/>
    <w:basedOn w:val="Normal"/>
    <w:link w:val="BodyTextChar"/>
    <w:rsid w:val="009D7A9C"/>
    <w:pPr>
      <w:spacing w:after="0" w:line="240" w:lineRule="auto"/>
    </w:pPr>
    <w:rPr>
      <w:rFonts w:eastAsia="SimSun" w:cs="Times New Roman"/>
      <w:sz w:val="24"/>
      <w:szCs w:val="24"/>
    </w:rPr>
  </w:style>
  <w:style w:type="character" w:customStyle="1" w:styleId="BodyTextChar">
    <w:name w:val="Body Text Char"/>
    <w:aliases w:val="bt Char"/>
    <w:basedOn w:val="DefaultParagraphFont"/>
    <w:link w:val="BodyText"/>
    <w:rsid w:val="009D7A9C"/>
    <w:rPr>
      <w:rFonts w:ascii="Times New Roman" w:eastAsia="SimSun" w:hAnsi="Times New Roman" w:cs="Times New Roman"/>
      <w:sz w:val="24"/>
      <w:szCs w:val="24"/>
    </w:rPr>
  </w:style>
  <w:style w:type="paragraph" w:customStyle="1" w:styleId="Proposal">
    <w:name w:val="Proposal"/>
    <w:basedOn w:val="Normal"/>
    <w:link w:val="ProposalChar"/>
    <w:qFormat/>
    <w:rsid w:val="002478F7"/>
    <w:pPr>
      <w:spacing w:after="0" w:line="240" w:lineRule="auto"/>
      <w:ind w:left="1276" w:hanging="1276"/>
      <w:jc w:val="both"/>
    </w:pPr>
    <w:rPr>
      <w:rFonts w:ascii="Calibri" w:eastAsia="MS Mincho" w:hAnsi="Calibri" w:cs="Times New Roman"/>
      <w:b/>
      <w:szCs w:val="20"/>
    </w:rPr>
  </w:style>
  <w:style w:type="character" w:customStyle="1" w:styleId="ProposalChar">
    <w:name w:val="Proposal Char"/>
    <w:link w:val="Proposal"/>
    <w:qFormat/>
    <w:rsid w:val="002478F7"/>
    <w:rPr>
      <w:rFonts w:ascii="Calibri" w:eastAsia="MS Mincho" w:hAnsi="Calibri" w:cs="Times New Roman"/>
      <w:b/>
      <w:sz w:val="20"/>
      <w:szCs w:val="20"/>
    </w:rPr>
  </w:style>
  <w:style w:type="character" w:customStyle="1" w:styleId="PropObsChar">
    <w:name w:val="PropObs Char"/>
    <w:link w:val="PropObs"/>
    <w:locked/>
    <w:rsid w:val="002478F7"/>
    <w:rPr>
      <w:rFonts w:ascii="Calibri" w:eastAsia="MS Mincho" w:hAnsi="Calibri"/>
      <w:b/>
      <w:lang w:eastAsia="sv-SE"/>
    </w:rPr>
  </w:style>
  <w:style w:type="paragraph" w:customStyle="1" w:styleId="PropObs">
    <w:name w:val="PropObs"/>
    <w:basedOn w:val="Normal"/>
    <w:link w:val="PropObsChar"/>
    <w:qFormat/>
    <w:rsid w:val="002478F7"/>
    <w:pPr>
      <w:numPr>
        <w:numId w:val="27"/>
      </w:numPr>
      <w:spacing w:after="0" w:line="240" w:lineRule="auto"/>
      <w:ind w:left="1134" w:hanging="1134"/>
      <w:jc w:val="both"/>
    </w:pPr>
    <w:rPr>
      <w:rFonts w:ascii="Calibri" w:eastAsia="MS Mincho" w:hAnsi="Calibri"/>
      <w:b/>
      <w:sz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3721636">
      <w:bodyDiv w:val="1"/>
      <w:marLeft w:val="0"/>
      <w:marRight w:val="0"/>
      <w:marTop w:val="0"/>
      <w:marBottom w:val="0"/>
      <w:divBdr>
        <w:top w:val="none" w:sz="0" w:space="0" w:color="auto"/>
        <w:left w:val="none" w:sz="0" w:space="0" w:color="auto"/>
        <w:bottom w:val="none" w:sz="0" w:space="0" w:color="auto"/>
        <w:right w:val="none" w:sz="0" w:space="0" w:color="auto"/>
      </w:divBdr>
      <w:divsChild>
        <w:div w:id="1794860537">
          <w:marLeft w:val="547"/>
          <w:marRight w:val="0"/>
          <w:marTop w:val="154"/>
          <w:marBottom w:val="0"/>
          <w:divBdr>
            <w:top w:val="none" w:sz="0" w:space="0" w:color="auto"/>
            <w:left w:val="none" w:sz="0" w:space="0" w:color="auto"/>
            <w:bottom w:val="none" w:sz="0" w:space="0" w:color="auto"/>
            <w:right w:val="none" w:sz="0" w:space="0" w:color="auto"/>
          </w:divBdr>
        </w:div>
        <w:div w:id="1173304823">
          <w:marLeft w:val="1166"/>
          <w:marRight w:val="0"/>
          <w:marTop w:val="96"/>
          <w:marBottom w:val="0"/>
          <w:divBdr>
            <w:top w:val="none" w:sz="0" w:space="0" w:color="auto"/>
            <w:left w:val="none" w:sz="0" w:space="0" w:color="auto"/>
            <w:bottom w:val="none" w:sz="0" w:space="0" w:color="auto"/>
            <w:right w:val="none" w:sz="0" w:space="0" w:color="auto"/>
          </w:divBdr>
        </w:div>
        <w:div w:id="205682898">
          <w:marLeft w:val="1166"/>
          <w:marRight w:val="0"/>
          <w:marTop w:val="96"/>
          <w:marBottom w:val="0"/>
          <w:divBdr>
            <w:top w:val="none" w:sz="0" w:space="0" w:color="auto"/>
            <w:left w:val="none" w:sz="0" w:space="0" w:color="auto"/>
            <w:bottom w:val="none" w:sz="0" w:space="0" w:color="auto"/>
            <w:right w:val="none" w:sz="0" w:space="0" w:color="auto"/>
          </w:divBdr>
        </w:div>
        <w:div w:id="1547254419">
          <w:marLeft w:val="1800"/>
          <w:marRight w:val="0"/>
          <w:marTop w:val="77"/>
          <w:marBottom w:val="0"/>
          <w:divBdr>
            <w:top w:val="none" w:sz="0" w:space="0" w:color="auto"/>
            <w:left w:val="none" w:sz="0" w:space="0" w:color="auto"/>
            <w:bottom w:val="none" w:sz="0" w:space="0" w:color="auto"/>
            <w:right w:val="none" w:sz="0" w:space="0" w:color="auto"/>
          </w:divBdr>
        </w:div>
        <w:div w:id="1249117614">
          <w:marLeft w:val="1800"/>
          <w:marRight w:val="0"/>
          <w:marTop w:val="77"/>
          <w:marBottom w:val="0"/>
          <w:divBdr>
            <w:top w:val="none" w:sz="0" w:space="0" w:color="auto"/>
            <w:left w:val="none" w:sz="0" w:space="0" w:color="auto"/>
            <w:bottom w:val="none" w:sz="0" w:space="0" w:color="auto"/>
            <w:right w:val="none" w:sz="0" w:space="0" w:color="auto"/>
          </w:divBdr>
        </w:div>
        <w:div w:id="2142115629">
          <w:marLeft w:val="1800"/>
          <w:marRight w:val="0"/>
          <w:marTop w:val="77"/>
          <w:marBottom w:val="0"/>
          <w:divBdr>
            <w:top w:val="none" w:sz="0" w:space="0" w:color="auto"/>
            <w:left w:val="none" w:sz="0" w:space="0" w:color="auto"/>
            <w:bottom w:val="none" w:sz="0" w:space="0" w:color="auto"/>
            <w:right w:val="none" w:sz="0" w:space="0" w:color="auto"/>
          </w:divBdr>
        </w:div>
        <w:div w:id="1263682710">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71A6C-FE10-47BA-B548-649E33F16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1766</TotalTime>
  <Pages>3</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Juergen Hofmann (Nokia-DE/Munich)</cp:lastModifiedBy>
  <cp:revision>42</cp:revision>
  <dcterms:created xsi:type="dcterms:W3CDTF">2019-04-01T16:08:00Z</dcterms:created>
  <dcterms:modified xsi:type="dcterms:W3CDTF">2019-05-03T23:53:00Z</dcterms:modified>
</cp:coreProperties>
</file>